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9A88" w14:textId="77777777" w:rsidR="005868E1" w:rsidRPr="005868E1" w:rsidRDefault="005868E1" w:rsidP="005868E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5868E1">
        <w:rPr>
          <w:rFonts w:ascii="Cambria" w:hAnsi="Cambria" w:cs="Times New Roman"/>
          <w:b/>
          <w:bCs/>
          <w:color w:val="000000"/>
          <w:sz w:val="24"/>
          <w:szCs w:val="24"/>
        </w:rPr>
        <w:t>Softwarové komponenty SAP v rámci IS FINU/HRO</w:t>
      </w:r>
    </w:p>
    <w:p w14:paraId="7CA14286" w14:textId="77777777" w:rsidR="005868E1" w:rsidRPr="005868E1" w:rsidRDefault="005868E1" w:rsidP="005868E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8"/>
          <w:szCs w:val="28"/>
        </w:rPr>
      </w:pPr>
    </w:p>
    <w:p w14:paraId="51820271" w14:textId="77777777" w:rsidR="005868E1" w:rsidRPr="005868E1" w:rsidRDefault="005868E1" w:rsidP="005868E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03A49B52" w14:textId="3D11E73B" w:rsidR="005868E1" w:rsidRPr="005868E1" w:rsidRDefault="005868E1" w:rsidP="005868E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 xml:space="preserve">IS FINU/HRO sa skladá </w:t>
      </w:r>
      <w:r w:rsidR="00AC58FE" w:rsidRPr="005868E1">
        <w:rPr>
          <w:rFonts w:ascii="Cambria" w:hAnsi="Cambria"/>
          <w:sz w:val="20"/>
          <w:szCs w:val="20"/>
        </w:rPr>
        <w:t>softvérovo</w:t>
      </w:r>
      <w:r w:rsidRPr="005868E1">
        <w:rPr>
          <w:rFonts w:ascii="Cambria" w:hAnsi="Cambria"/>
          <w:sz w:val="20"/>
          <w:szCs w:val="20"/>
        </w:rPr>
        <w:t xml:space="preserve"> z týchto komponentov</w:t>
      </w:r>
      <w:r w:rsidR="00AC58FE" w:rsidRPr="00AC58FE">
        <w:rPr>
          <w:rFonts w:ascii="Cambria" w:hAnsi="Cambria"/>
          <w:sz w:val="20"/>
          <w:szCs w:val="20"/>
        </w:rPr>
        <w:t>:</w:t>
      </w:r>
    </w:p>
    <w:p w14:paraId="5CE74C57" w14:textId="77777777" w:rsidR="005868E1" w:rsidRPr="005868E1" w:rsidRDefault="005868E1" w:rsidP="005868E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30687E3F" w14:textId="77777777" w:rsidR="005868E1" w:rsidRPr="005868E1" w:rsidRDefault="005868E1" w:rsidP="005868E1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5868E1">
        <w:rPr>
          <w:rFonts w:ascii="Cambria" w:eastAsia="Times New Roman" w:hAnsi="Cambria"/>
          <w:color w:val="000000"/>
          <w:sz w:val="20"/>
          <w:szCs w:val="20"/>
        </w:rPr>
        <w:t xml:space="preserve">SAP </w:t>
      </w:r>
      <w:r w:rsidR="00410AD2">
        <w:rPr>
          <w:rFonts w:ascii="Cambria" w:eastAsia="Times New Roman" w:hAnsi="Cambria"/>
          <w:color w:val="000000"/>
          <w:sz w:val="20"/>
          <w:szCs w:val="20"/>
        </w:rPr>
        <w:t xml:space="preserve">ERP </w:t>
      </w:r>
      <w:r w:rsidRPr="005868E1">
        <w:rPr>
          <w:rFonts w:ascii="Cambria" w:eastAsia="Times New Roman" w:hAnsi="Cambria"/>
          <w:color w:val="000000"/>
          <w:sz w:val="20"/>
          <w:szCs w:val="20"/>
        </w:rPr>
        <w:t xml:space="preserve">ECC 6.0 EHP7 SPS14 </w:t>
      </w:r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 xml:space="preserve">(SAP </w:t>
      </w:r>
      <w:proofErr w:type="spellStart"/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>NetWeaver</w:t>
      </w:r>
      <w:proofErr w:type="spellEnd"/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 xml:space="preserve"> 7.40/17)</w:t>
      </w:r>
    </w:p>
    <w:p w14:paraId="33C00C28" w14:textId="77777777" w:rsidR="005868E1" w:rsidRPr="005868E1" w:rsidRDefault="005868E1" w:rsidP="005868E1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5868E1">
        <w:rPr>
          <w:rFonts w:ascii="Cambria" w:eastAsia="Times New Roman" w:hAnsi="Cambria"/>
          <w:color w:val="000000"/>
          <w:sz w:val="20"/>
          <w:szCs w:val="20"/>
        </w:rPr>
        <w:t xml:space="preserve">SAP BW </w:t>
      </w:r>
      <w:r w:rsidRPr="00625786">
        <w:rPr>
          <w:rFonts w:ascii="Cambria" w:eastAsia="Times New Roman" w:hAnsi="Cambria"/>
          <w:color w:val="000000"/>
          <w:sz w:val="20"/>
          <w:szCs w:val="20"/>
        </w:rPr>
        <w:t>7.</w:t>
      </w:r>
      <w:r w:rsidR="00410AD2" w:rsidRPr="00625786">
        <w:rPr>
          <w:rFonts w:ascii="Cambria" w:eastAsia="Times New Roman" w:hAnsi="Cambria"/>
          <w:color w:val="000000"/>
          <w:sz w:val="20"/>
          <w:szCs w:val="20"/>
        </w:rPr>
        <w:t>5</w:t>
      </w:r>
      <w:r w:rsidRPr="00625786">
        <w:rPr>
          <w:rFonts w:ascii="Cambria" w:eastAsia="Times New Roman" w:hAnsi="Cambria"/>
          <w:color w:val="000000"/>
          <w:sz w:val="20"/>
          <w:szCs w:val="20"/>
        </w:rPr>
        <w:t xml:space="preserve"> SP</w:t>
      </w:r>
      <w:r w:rsidR="0019280F" w:rsidRPr="00625786">
        <w:rPr>
          <w:rFonts w:ascii="Cambria" w:eastAsia="Times New Roman" w:hAnsi="Cambria"/>
          <w:color w:val="000000"/>
          <w:sz w:val="20"/>
          <w:szCs w:val="20"/>
        </w:rPr>
        <w:t>S22</w:t>
      </w:r>
    </w:p>
    <w:p w14:paraId="699F2921" w14:textId="77777777" w:rsidR="005868E1" w:rsidRDefault="005868E1" w:rsidP="005868E1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5868E1">
        <w:rPr>
          <w:rFonts w:ascii="Cambria" w:eastAsia="Times New Roman" w:hAnsi="Cambria"/>
          <w:color w:val="000000"/>
          <w:sz w:val="20"/>
          <w:szCs w:val="20"/>
        </w:rPr>
        <w:t>SAP PI 7.31 SP11</w:t>
      </w:r>
    </w:p>
    <w:p w14:paraId="19F9C596" w14:textId="77777777" w:rsidR="00410AD2" w:rsidRPr="00410AD2" w:rsidRDefault="005868E1" w:rsidP="00410AD2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410AD2">
        <w:rPr>
          <w:rFonts w:ascii="Cambria" w:eastAsia="Times New Roman" w:hAnsi="Cambria"/>
          <w:color w:val="000000"/>
          <w:sz w:val="20"/>
          <w:szCs w:val="20"/>
        </w:rPr>
        <w:t xml:space="preserve">SAP </w:t>
      </w:r>
      <w:proofErr w:type="spellStart"/>
      <w:r w:rsidRPr="00410AD2">
        <w:rPr>
          <w:rFonts w:ascii="Cambria" w:eastAsia="Times New Roman" w:hAnsi="Cambria"/>
          <w:color w:val="000000"/>
          <w:sz w:val="20"/>
          <w:szCs w:val="20"/>
        </w:rPr>
        <w:t>Solution</w:t>
      </w:r>
      <w:proofErr w:type="spellEnd"/>
      <w:r w:rsidRPr="00410AD2">
        <w:rPr>
          <w:rFonts w:ascii="Cambria" w:eastAsia="Times New Roman" w:hAnsi="Cambria"/>
          <w:color w:val="000000"/>
          <w:sz w:val="20"/>
          <w:szCs w:val="20"/>
        </w:rPr>
        <w:t xml:space="preserve"> Manager </w:t>
      </w:r>
      <w:r w:rsidRPr="00625786">
        <w:rPr>
          <w:rFonts w:ascii="Cambria" w:eastAsia="Times New Roman" w:hAnsi="Cambria"/>
          <w:color w:val="000000"/>
          <w:sz w:val="20"/>
          <w:szCs w:val="20"/>
        </w:rPr>
        <w:t>7.</w:t>
      </w:r>
      <w:r w:rsidR="00410AD2" w:rsidRPr="00625786">
        <w:rPr>
          <w:rFonts w:ascii="Cambria" w:eastAsia="Times New Roman" w:hAnsi="Cambria"/>
          <w:color w:val="000000"/>
          <w:sz w:val="20"/>
          <w:szCs w:val="20"/>
        </w:rPr>
        <w:t>2</w:t>
      </w:r>
      <w:r w:rsidRPr="00625786">
        <w:rPr>
          <w:rFonts w:ascii="Cambria" w:eastAsia="Times New Roman" w:hAnsi="Cambria"/>
          <w:color w:val="000000"/>
          <w:sz w:val="20"/>
          <w:szCs w:val="20"/>
        </w:rPr>
        <w:t xml:space="preserve"> SPS1</w:t>
      </w:r>
      <w:r w:rsidR="00410AD2" w:rsidRPr="00625786">
        <w:rPr>
          <w:rFonts w:ascii="Cambria" w:eastAsia="Times New Roman" w:hAnsi="Cambria"/>
          <w:color w:val="000000"/>
          <w:sz w:val="20"/>
          <w:szCs w:val="20"/>
        </w:rPr>
        <w:t>3</w:t>
      </w:r>
      <w:r w:rsidRPr="00410AD2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>(</w:t>
      </w:r>
      <w:proofErr w:type="spellStart"/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>NetWeaver</w:t>
      </w:r>
      <w:proofErr w:type="spellEnd"/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 xml:space="preserve"> ABAP 7.40/25 a SAP </w:t>
      </w:r>
      <w:proofErr w:type="spellStart"/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>NetWeaver</w:t>
      </w:r>
      <w:proofErr w:type="spellEnd"/>
      <w:r w:rsidR="00410AD2" w:rsidRPr="00410AD2">
        <w:rPr>
          <w:rFonts w:ascii="Cambria" w:eastAsia="Times New Roman" w:hAnsi="Cambria"/>
          <w:color w:val="000000"/>
          <w:sz w:val="20"/>
          <w:szCs w:val="20"/>
        </w:rPr>
        <w:t xml:space="preserve"> J2EE</w:t>
      </w:r>
    </w:p>
    <w:p w14:paraId="1E1DC2DE" w14:textId="77777777" w:rsidR="005868E1" w:rsidRPr="005868E1" w:rsidRDefault="00410AD2" w:rsidP="00410AD2">
      <w:pPr>
        <w:spacing w:after="0" w:line="240" w:lineRule="auto"/>
        <w:ind w:left="720"/>
        <w:rPr>
          <w:rFonts w:ascii="Cambria" w:eastAsia="Times New Roman" w:hAnsi="Cambria"/>
          <w:color w:val="000000"/>
          <w:sz w:val="20"/>
          <w:szCs w:val="20"/>
        </w:rPr>
      </w:pPr>
      <w:r w:rsidRPr="00410AD2">
        <w:rPr>
          <w:rFonts w:ascii="Cambria" w:eastAsia="Times New Roman" w:hAnsi="Cambria"/>
          <w:color w:val="000000"/>
          <w:sz w:val="20"/>
          <w:szCs w:val="20"/>
        </w:rPr>
        <w:t>7.50/20)</w:t>
      </w:r>
    </w:p>
    <w:p w14:paraId="76C97B0A" w14:textId="77777777" w:rsidR="005868E1" w:rsidRPr="005868E1" w:rsidRDefault="005868E1" w:rsidP="005868E1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5868E1">
        <w:rPr>
          <w:rFonts w:ascii="Cambria" w:eastAsia="Times New Roman" w:hAnsi="Cambria"/>
          <w:color w:val="000000"/>
          <w:sz w:val="20"/>
          <w:szCs w:val="20"/>
        </w:rPr>
        <w:t xml:space="preserve">SAP TREX 7.10 </w:t>
      </w:r>
      <w:proofErr w:type="spellStart"/>
      <w:r w:rsidRPr="005868E1">
        <w:rPr>
          <w:rFonts w:ascii="Cambria" w:eastAsia="Times New Roman" w:hAnsi="Cambria"/>
          <w:color w:val="000000"/>
          <w:sz w:val="20"/>
          <w:szCs w:val="20"/>
        </w:rPr>
        <w:t>Revision</w:t>
      </w:r>
      <w:proofErr w:type="spellEnd"/>
      <w:r w:rsidRPr="005868E1">
        <w:rPr>
          <w:rFonts w:ascii="Cambria" w:eastAsia="Times New Roman" w:hAnsi="Cambria"/>
          <w:color w:val="000000"/>
          <w:sz w:val="20"/>
          <w:szCs w:val="20"/>
        </w:rPr>
        <w:t xml:space="preserve"> 78</w:t>
      </w:r>
    </w:p>
    <w:p w14:paraId="2A8217E9" w14:textId="58192BA2" w:rsidR="005868E1" w:rsidRPr="005868E1" w:rsidRDefault="005868E1" w:rsidP="007E1E6E">
      <w:pPr>
        <w:spacing w:after="0" w:line="240" w:lineRule="auto"/>
        <w:ind w:left="720"/>
        <w:rPr>
          <w:rFonts w:ascii="Cambria" w:eastAsia="Times New Roman" w:hAnsi="Cambria"/>
          <w:b/>
          <w:bCs/>
          <w:color w:val="000000"/>
          <w:sz w:val="20"/>
          <w:szCs w:val="20"/>
        </w:rPr>
      </w:pPr>
    </w:p>
    <w:p w14:paraId="5BDC0110" w14:textId="77777777" w:rsidR="005868E1" w:rsidRPr="005868E1" w:rsidRDefault="005868E1" w:rsidP="005868E1">
      <w:pPr>
        <w:spacing w:after="0" w:line="240" w:lineRule="auto"/>
        <w:ind w:left="720"/>
        <w:rPr>
          <w:rFonts w:ascii="Cambria" w:eastAsia="Times New Roman" w:hAnsi="Cambria"/>
          <w:color w:val="000000"/>
          <w:sz w:val="20"/>
          <w:szCs w:val="20"/>
        </w:rPr>
      </w:pPr>
    </w:p>
    <w:p w14:paraId="22219E3A" w14:textId="77777777" w:rsidR="005868E1" w:rsidRPr="005868E1" w:rsidRDefault="005868E1" w:rsidP="005868E1">
      <w:pPr>
        <w:rPr>
          <w:rFonts w:ascii="Cambria" w:hAnsi="Cambria"/>
          <w:sz w:val="20"/>
          <w:szCs w:val="20"/>
        </w:rPr>
      </w:pPr>
    </w:p>
    <w:p w14:paraId="7EBFE19F" w14:textId="4807374D" w:rsidR="005868E1" w:rsidRPr="005868E1" w:rsidRDefault="005868E1" w:rsidP="005868E1">
      <w:pPr>
        <w:spacing w:after="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 xml:space="preserve">Moduly </w:t>
      </w:r>
      <w:r w:rsidR="00AC58FE">
        <w:rPr>
          <w:rFonts w:ascii="Cambria" w:hAnsi="Cambria"/>
          <w:sz w:val="20"/>
          <w:szCs w:val="20"/>
        </w:rPr>
        <w:t xml:space="preserve">SAP </w:t>
      </w:r>
      <w:r w:rsidRPr="005868E1">
        <w:rPr>
          <w:rFonts w:ascii="Cambria" w:hAnsi="Cambria"/>
          <w:sz w:val="20"/>
          <w:szCs w:val="20"/>
        </w:rPr>
        <w:t>používané v rámci IS FINU/HRO:</w:t>
      </w:r>
    </w:p>
    <w:p w14:paraId="223F86B3" w14:textId="77777777" w:rsidR="005868E1" w:rsidRPr="005868E1" w:rsidRDefault="005868E1" w:rsidP="005868E1">
      <w:pPr>
        <w:spacing w:after="0"/>
        <w:rPr>
          <w:rFonts w:ascii="Cambria" w:hAnsi="Cambria"/>
          <w:sz w:val="20"/>
          <w:szCs w:val="20"/>
        </w:rPr>
      </w:pPr>
    </w:p>
    <w:p w14:paraId="7A1F5744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BW BCA</w:t>
      </w:r>
    </w:p>
    <w:p w14:paraId="1F63CE88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BW FI</w:t>
      </w:r>
    </w:p>
    <w:p w14:paraId="52F6F093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BW MM</w:t>
      </w:r>
    </w:p>
    <w:p w14:paraId="667827F1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COMCO</w:t>
      </w:r>
    </w:p>
    <w:p w14:paraId="2AA14203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FI-AA</w:t>
      </w:r>
    </w:p>
    <w:p w14:paraId="076E316E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FI-CO</w:t>
      </w:r>
    </w:p>
    <w:p w14:paraId="296AEF40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FI-HK</w:t>
      </w:r>
    </w:p>
    <w:p w14:paraId="06693D20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FI-VK</w:t>
      </w:r>
    </w:p>
    <w:p w14:paraId="0E5AA40F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IM</w:t>
      </w:r>
    </w:p>
    <w:p w14:paraId="4654861A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MM</w:t>
      </w:r>
    </w:p>
    <w:p w14:paraId="33A96531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PM</w:t>
      </w:r>
    </w:p>
    <w:p w14:paraId="049BE92A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SD</w:t>
      </w:r>
    </w:p>
    <w:p w14:paraId="6C4C93FF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BCA - IPD</w:t>
      </w:r>
    </w:p>
    <w:p w14:paraId="50D69020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BCA - IPZ</w:t>
      </w:r>
    </w:p>
    <w:p w14:paraId="52640A71" w14:textId="77777777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BCA – NOO (AML)</w:t>
      </w:r>
    </w:p>
    <w:p w14:paraId="62F183B0" w14:textId="58ABDCD6" w:rsidR="005868E1" w:rsidRP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 xml:space="preserve">SAP </w:t>
      </w:r>
      <w:proofErr w:type="spellStart"/>
      <w:r w:rsidR="00AC58FE">
        <w:rPr>
          <w:rFonts w:ascii="Cambria" w:hAnsi="Cambria"/>
          <w:sz w:val="20"/>
          <w:szCs w:val="20"/>
        </w:rPr>
        <w:t>P</w:t>
      </w:r>
      <w:r w:rsidRPr="005868E1">
        <w:rPr>
          <w:rFonts w:ascii="Cambria" w:hAnsi="Cambria"/>
          <w:sz w:val="20"/>
          <w:szCs w:val="20"/>
        </w:rPr>
        <w:t>ortal</w:t>
      </w:r>
      <w:proofErr w:type="spellEnd"/>
    </w:p>
    <w:p w14:paraId="6655F3B1" w14:textId="33468C86" w:rsidR="005868E1" w:rsidRDefault="005868E1" w:rsidP="005868E1">
      <w:pPr>
        <w:pStyle w:val="ListParagraph"/>
        <w:numPr>
          <w:ilvl w:val="0"/>
          <w:numId w:val="2"/>
        </w:numPr>
        <w:spacing w:after="60"/>
        <w:rPr>
          <w:rFonts w:ascii="Cambria" w:hAnsi="Cambria"/>
          <w:sz w:val="20"/>
          <w:szCs w:val="20"/>
        </w:rPr>
      </w:pPr>
      <w:r w:rsidRPr="005868E1">
        <w:rPr>
          <w:rFonts w:ascii="Cambria" w:hAnsi="Cambria"/>
          <w:sz w:val="20"/>
          <w:szCs w:val="20"/>
        </w:rPr>
        <w:t>TEP</w:t>
      </w:r>
    </w:p>
    <w:p w14:paraId="5551AB55" w14:textId="0C91F57F" w:rsidR="007E1E6E" w:rsidRDefault="007E1E6E" w:rsidP="007E1E6E">
      <w:pPr>
        <w:spacing w:after="60"/>
        <w:ind w:left="360"/>
        <w:rPr>
          <w:rFonts w:ascii="Cambria" w:hAnsi="Cambria"/>
          <w:sz w:val="20"/>
          <w:szCs w:val="20"/>
        </w:rPr>
      </w:pPr>
    </w:p>
    <w:p w14:paraId="7F5449C0" w14:textId="5F9E4D6C" w:rsidR="00955E74" w:rsidRDefault="00955E74">
      <w:pPr>
        <w:spacing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570D200B" w14:textId="0DA5FAE1" w:rsidR="00955E74" w:rsidRDefault="00955E74" w:rsidP="00955E74">
      <w:pPr>
        <w:spacing w:after="60"/>
        <w:jc w:val="center"/>
        <w:rPr>
          <w:rFonts w:ascii="Cambria" w:hAnsi="Cambria"/>
          <w:sz w:val="20"/>
          <w:szCs w:val="20"/>
        </w:rPr>
      </w:pPr>
      <w:r w:rsidRPr="005868E1">
        <w:rPr>
          <w:rFonts w:ascii="Cambria" w:hAnsi="Cambria" w:cs="Times New Roman"/>
          <w:b/>
          <w:bCs/>
          <w:color w:val="000000"/>
          <w:sz w:val="24"/>
          <w:szCs w:val="24"/>
        </w:rPr>
        <w:lastRenderedPageBreak/>
        <w:t>IS FINU/HRO</w:t>
      </w:r>
      <w:r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- ďalšie informácie</w:t>
      </w:r>
    </w:p>
    <w:p w14:paraId="389F91DB" w14:textId="77777777" w:rsidR="00955E74" w:rsidRDefault="00955E74" w:rsidP="007E1E6E">
      <w:pPr>
        <w:spacing w:after="60"/>
        <w:rPr>
          <w:rFonts w:ascii="Cambria" w:hAnsi="Cambria"/>
          <w:sz w:val="20"/>
          <w:szCs w:val="20"/>
        </w:rPr>
      </w:pPr>
    </w:p>
    <w:p w14:paraId="42373397" w14:textId="5220350A" w:rsidR="007E1E6E" w:rsidRPr="00163F35" w:rsidRDefault="007E1E6E" w:rsidP="007E1E6E">
      <w:pPr>
        <w:spacing w:after="60"/>
        <w:rPr>
          <w:rFonts w:ascii="Cambria" w:hAnsi="Cambria"/>
          <w:sz w:val="20"/>
          <w:szCs w:val="20"/>
        </w:rPr>
      </w:pPr>
      <w:r w:rsidRPr="00163F35">
        <w:rPr>
          <w:rFonts w:ascii="Cambria" w:hAnsi="Cambria"/>
          <w:sz w:val="20"/>
          <w:szCs w:val="20"/>
        </w:rPr>
        <w:t>Prehľad a popis rozšírení, ktoré boli zákaznícky vyvinuté:</w:t>
      </w:r>
    </w:p>
    <w:p w14:paraId="3A42B299" w14:textId="77777777" w:rsidR="009D440D" w:rsidRDefault="009D440D" w:rsidP="007E1E6E">
      <w:pPr>
        <w:spacing w:after="60"/>
      </w:pPr>
    </w:p>
    <w:bookmarkStart w:id="0" w:name="_MON_1757428326"/>
    <w:bookmarkEnd w:id="0"/>
    <w:p w14:paraId="5E80424E" w14:textId="3F160C29" w:rsidR="007E1E6E" w:rsidRPr="00955E74" w:rsidRDefault="007E1E6E" w:rsidP="007E1E6E">
      <w:pPr>
        <w:spacing w:after="60"/>
        <w:ind w:left="360"/>
        <w:rPr>
          <w:lang w:val="en-US"/>
        </w:rPr>
      </w:pPr>
      <w:r>
        <w:object w:dxaOrig="1520" w:dyaOrig="987" w14:anchorId="4BDD4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8" o:title=""/>
          </v:shape>
          <o:OLEObject Type="Embed" ProgID="Word.Document.12" ShapeID="_x0000_i1025" DrawAspect="Icon" ObjectID="_1757765446" r:id="rId9">
            <o:FieldCodes>\s</o:FieldCodes>
          </o:OLEObject>
        </w:object>
      </w:r>
    </w:p>
    <w:p w14:paraId="235D3559" w14:textId="49D46BA0" w:rsidR="009D440D" w:rsidRDefault="009D440D" w:rsidP="007E1E6E">
      <w:pPr>
        <w:spacing w:after="60"/>
        <w:ind w:left="360"/>
      </w:pPr>
    </w:p>
    <w:p w14:paraId="68902C17" w14:textId="4B4B01FC" w:rsidR="009D440D" w:rsidRPr="00FE7CF9" w:rsidRDefault="009D440D" w:rsidP="009D440D">
      <w:pPr>
        <w:spacing w:after="60"/>
        <w:rPr>
          <w:rFonts w:ascii="Cambria" w:hAnsi="Cambria"/>
          <w:sz w:val="20"/>
          <w:szCs w:val="20"/>
        </w:rPr>
      </w:pPr>
      <w:proofErr w:type="spellStart"/>
      <w:r w:rsidRPr="00FE7CF9">
        <w:rPr>
          <w:rFonts w:ascii="Cambria" w:hAnsi="Cambria"/>
          <w:sz w:val="20"/>
          <w:szCs w:val="20"/>
          <w:lang w:val="en-US"/>
        </w:rPr>
        <w:t>Zoznam</w:t>
      </w:r>
      <w:proofErr w:type="spellEnd"/>
      <w:r w:rsidRPr="00FE7CF9">
        <w:rPr>
          <w:rFonts w:ascii="Cambria" w:hAnsi="Cambria"/>
          <w:sz w:val="20"/>
          <w:szCs w:val="20"/>
        </w:rPr>
        <w:t xml:space="preserve"> a popis rolí:</w:t>
      </w:r>
    </w:p>
    <w:p w14:paraId="7531C039" w14:textId="10A84884" w:rsidR="009D440D" w:rsidRDefault="009D440D" w:rsidP="009D440D">
      <w:pPr>
        <w:spacing w:after="60"/>
      </w:pPr>
    </w:p>
    <w:p w14:paraId="22F2A288" w14:textId="03651D3C" w:rsidR="009D440D" w:rsidRDefault="00E8085C" w:rsidP="007E1E6E">
      <w:pPr>
        <w:spacing w:after="60"/>
        <w:ind w:left="360"/>
      </w:pPr>
      <w:r>
        <w:object w:dxaOrig="1287" w:dyaOrig="837" w14:anchorId="0E5AFE2F">
          <v:shape id="_x0000_i1031" type="#_x0000_t75" style="width:64.5pt;height:41.25pt" o:ole="">
            <v:imagedata r:id="rId10" o:title=""/>
          </v:shape>
          <o:OLEObject Type="Embed" ProgID="AcroExch.Document.DC" ShapeID="_x0000_i1031" DrawAspect="Icon" ObjectID="_1757765447" r:id="rId11"/>
        </w:object>
      </w:r>
    </w:p>
    <w:p w14:paraId="578FE354" w14:textId="4610F883" w:rsidR="009D440D" w:rsidRDefault="009D440D" w:rsidP="007E1E6E">
      <w:pPr>
        <w:spacing w:after="60"/>
        <w:ind w:left="360"/>
      </w:pPr>
    </w:p>
    <w:p w14:paraId="141AA21E" w14:textId="374617ED" w:rsidR="009D440D" w:rsidRPr="00FE7CF9" w:rsidRDefault="007A3439" w:rsidP="007A3439">
      <w:pPr>
        <w:spacing w:after="60"/>
        <w:rPr>
          <w:rFonts w:ascii="Cambria" w:hAnsi="Cambria"/>
        </w:rPr>
      </w:pPr>
      <w:r w:rsidRPr="00FE7CF9">
        <w:rPr>
          <w:rFonts w:ascii="Cambria" w:hAnsi="Cambria"/>
          <w:sz w:val="20"/>
          <w:szCs w:val="20"/>
        </w:rPr>
        <w:t xml:space="preserve">Prehľad a popis </w:t>
      </w:r>
      <w:r w:rsidR="00081F2D" w:rsidRPr="00FE7CF9">
        <w:rPr>
          <w:rFonts w:ascii="Cambria" w:hAnsi="Cambria"/>
          <w:sz w:val="20"/>
          <w:szCs w:val="20"/>
        </w:rPr>
        <w:t>integračných</w:t>
      </w:r>
      <w:r w:rsidRPr="00FE7CF9">
        <w:rPr>
          <w:rFonts w:ascii="Cambria" w:hAnsi="Cambria"/>
          <w:sz w:val="20"/>
          <w:szCs w:val="20"/>
        </w:rPr>
        <w:t xml:space="preserve"> rozhraní:</w:t>
      </w:r>
    </w:p>
    <w:p w14:paraId="0F2510A9" w14:textId="1BFCECAD" w:rsidR="003618BA" w:rsidRDefault="003618BA" w:rsidP="007E1E6E">
      <w:pPr>
        <w:spacing w:after="60"/>
        <w:ind w:left="360"/>
      </w:pPr>
    </w:p>
    <w:bookmarkStart w:id="1" w:name="_MON_1757500567"/>
    <w:bookmarkEnd w:id="1"/>
    <w:p w14:paraId="5110750D" w14:textId="164DFF93" w:rsidR="003618BA" w:rsidRDefault="001E596E" w:rsidP="007E1E6E">
      <w:pPr>
        <w:spacing w:after="60"/>
        <w:ind w:left="360"/>
      </w:pPr>
      <w:r>
        <w:object w:dxaOrig="1520" w:dyaOrig="987" w14:anchorId="49526213">
          <v:shape id="_x0000_i1027" type="#_x0000_t75" style="width:75.75pt;height:48.75pt" o:ole="">
            <v:imagedata r:id="rId12" o:title=""/>
          </v:shape>
          <o:OLEObject Type="Embed" ProgID="Word.Document.12" ShapeID="_x0000_i1027" DrawAspect="Icon" ObjectID="_1757765448" r:id="rId13">
            <o:FieldCodes>\s</o:FieldCodes>
          </o:OLEObject>
        </w:object>
      </w:r>
    </w:p>
    <w:bookmarkStart w:id="2" w:name="_MON_1757500869"/>
    <w:bookmarkEnd w:id="2"/>
    <w:p w14:paraId="3787D0F6" w14:textId="53BF5799" w:rsidR="003618BA" w:rsidRDefault="00D93738" w:rsidP="007E1E6E">
      <w:pPr>
        <w:spacing w:after="60"/>
        <w:ind w:left="360"/>
      </w:pPr>
      <w:r>
        <w:object w:dxaOrig="1520" w:dyaOrig="987" w14:anchorId="6E9065B7">
          <v:shape id="_x0000_i1028" type="#_x0000_t75" style="width:75.75pt;height:48.75pt" o:ole="">
            <v:imagedata r:id="rId14" o:title=""/>
          </v:shape>
          <o:OLEObject Type="Embed" ProgID="Word.Document.12" ShapeID="_x0000_i1028" DrawAspect="Icon" ObjectID="_1757765449" r:id="rId15">
            <o:FieldCodes>\s</o:FieldCodes>
          </o:OLEObject>
        </w:object>
      </w:r>
    </w:p>
    <w:p w14:paraId="6B0D9319" w14:textId="0E0A9C22" w:rsidR="003618BA" w:rsidRPr="00FE7CF9" w:rsidRDefault="00FE7CF9" w:rsidP="00FE7CF9">
      <w:pPr>
        <w:spacing w:after="60"/>
        <w:rPr>
          <w:rFonts w:ascii="Cambria" w:hAnsi="Cambria"/>
          <w:sz w:val="20"/>
          <w:szCs w:val="20"/>
        </w:rPr>
      </w:pPr>
      <w:bookmarkStart w:id="3" w:name="_Hlk146722060"/>
      <w:r w:rsidRPr="00FE7CF9">
        <w:rPr>
          <w:rFonts w:ascii="Cambria" w:hAnsi="Cambria"/>
          <w:sz w:val="20"/>
          <w:szCs w:val="20"/>
        </w:rPr>
        <w:t>Veľkosť databázy implementovaného systému FINU/HRO pre každé prostredie samostatne</w:t>
      </w:r>
      <w:bookmarkEnd w:id="3"/>
      <w:r w:rsidRPr="00FE7CF9">
        <w:rPr>
          <w:rFonts w:ascii="Cambria" w:hAnsi="Cambria"/>
          <w:sz w:val="20"/>
          <w:szCs w:val="20"/>
        </w:rPr>
        <w:t>:</w:t>
      </w:r>
    </w:p>
    <w:p w14:paraId="28A03F58" w14:textId="26AAD0DD" w:rsidR="003618BA" w:rsidRDefault="003618BA" w:rsidP="007E1E6E">
      <w:pPr>
        <w:spacing w:after="6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0"/>
        <w:gridCol w:w="930"/>
        <w:gridCol w:w="931"/>
        <w:gridCol w:w="936"/>
      </w:tblGrid>
      <w:tr w:rsidR="00FE7CF9" w14:paraId="7AE7EC6E" w14:textId="77777777" w:rsidTr="00FE7CF9">
        <w:trPr>
          <w:trHeight w:val="150"/>
        </w:trPr>
        <w:tc>
          <w:tcPr>
            <w:tcW w:w="3727" w:type="dxa"/>
            <w:gridSpan w:val="4"/>
          </w:tcPr>
          <w:p w14:paraId="583B6D96" w14:textId="76B37F67" w:rsidR="00FE7CF9" w:rsidRPr="00112099" w:rsidRDefault="00FE7CF9" w:rsidP="007E1E6E">
            <w:pPr>
              <w:spacing w:after="60"/>
              <w:rPr>
                <w:rFonts w:ascii="Cambria" w:hAnsi="Cambria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Veľkosť jednotlivých databáz v GB</w:t>
            </w:r>
          </w:p>
        </w:tc>
      </w:tr>
      <w:tr w:rsidR="00FE7CF9" w14:paraId="7EF09639" w14:textId="77777777" w:rsidTr="00FE7CF9">
        <w:trPr>
          <w:trHeight w:val="163"/>
        </w:trPr>
        <w:tc>
          <w:tcPr>
            <w:tcW w:w="930" w:type="dxa"/>
          </w:tcPr>
          <w:p w14:paraId="2E66291B" w14:textId="77777777" w:rsidR="00FE7CF9" w:rsidRPr="00112099" w:rsidRDefault="00FE7CF9" w:rsidP="007E1E6E">
            <w:pPr>
              <w:spacing w:after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0" w:type="dxa"/>
          </w:tcPr>
          <w:p w14:paraId="2043AF14" w14:textId="54E3D736" w:rsidR="00FE7CF9" w:rsidRPr="00112099" w:rsidRDefault="00FE7CF9" w:rsidP="007E1E6E">
            <w:pPr>
              <w:spacing w:after="60"/>
              <w:rPr>
                <w:rFonts w:ascii="Cambria" w:hAnsi="Cambria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ERP</w:t>
            </w:r>
          </w:p>
        </w:tc>
        <w:tc>
          <w:tcPr>
            <w:tcW w:w="931" w:type="dxa"/>
          </w:tcPr>
          <w:p w14:paraId="5FA04391" w14:textId="60F9EF62" w:rsidR="00FE7CF9" w:rsidRPr="00112099" w:rsidRDefault="00FE7CF9" w:rsidP="007E1E6E">
            <w:pPr>
              <w:spacing w:after="60"/>
              <w:rPr>
                <w:rFonts w:ascii="Cambria" w:hAnsi="Cambria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BW</w:t>
            </w:r>
          </w:p>
        </w:tc>
        <w:tc>
          <w:tcPr>
            <w:tcW w:w="935" w:type="dxa"/>
          </w:tcPr>
          <w:p w14:paraId="224CFF73" w14:textId="0FB545B2" w:rsidR="00FE7CF9" w:rsidRPr="00E22EC3" w:rsidRDefault="00FE7CF9" w:rsidP="007E1E6E">
            <w:pPr>
              <w:spacing w:after="60"/>
              <w:rPr>
                <w:rFonts w:ascii="Cambria" w:hAnsi="Cambria"/>
                <w:lang w:val="en-US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NI</w:t>
            </w:r>
            <w:r w:rsidR="00E22EC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22EC3">
              <w:rPr>
                <w:rFonts w:ascii="Cambria" w:hAnsi="Cambria"/>
                <w:sz w:val="20"/>
                <w:szCs w:val="20"/>
                <w:lang w:val="en-US"/>
              </w:rPr>
              <w:t>(PI)</w:t>
            </w:r>
          </w:p>
        </w:tc>
      </w:tr>
      <w:tr w:rsidR="00FE7CF9" w14:paraId="6567AB50" w14:textId="77777777" w:rsidTr="00FE7CF9">
        <w:trPr>
          <w:trHeight w:val="150"/>
        </w:trPr>
        <w:tc>
          <w:tcPr>
            <w:tcW w:w="930" w:type="dxa"/>
          </w:tcPr>
          <w:p w14:paraId="6EBFF26E" w14:textId="06A7F6F9" w:rsidR="00FE7CF9" w:rsidRPr="00112099" w:rsidRDefault="00FE7CF9" w:rsidP="007E1E6E">
            <w:pPr>
              <w:spacing w:after="6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12099">
              <w:rPr>
                <w:rFonts w:ascii="Cambria" w:hAnsi="Cambria"/>
                <w:sz w:val="20"/>
                <w:szCs w:val="20"/>
              </w:rPr>
              <w:t>prod</w:t>
            </w:r>
            <w:proofErr w:type="spellEnd"/>
          </w:p>
        </w:tc>
        <w:tc>
          <w:tcPr>
            <w:tcW w:w="930" w:type="dxa"/>
          </w:tcPr>
          <w:p w14:paraId="54C44B30" w14:textId="25483EA8" w:rsidR="00FE7CF9" w:rsidRPr="00112099" w:rsidRDefault="00FE7CF9" w:rsidP="007E1E6E">
            <w:pPr>
              <w:spacing w:after="60"/>
              <w:rPr>
                <w:rFonts w:ascii="Cambria" w:hAnsi="Cambria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1532</w:t>
            </w:r>
          </w:p>
        </w:tc>
        <w:tc>
          <w:tcPr>
            <w:tcW w:w="931" w:type="dxa"/>
          </w:tcPr>
          <w:p w14:paraId="09855991" w14:textId="3851088E" w:rsidR="00FE7CF9" w:rsidRPr="00112099" w:rsidRDefault="00FE7CF9" w:rsidP="007E1E6E">
            <w:pPr>
              <w:spacing w:after="60"/>
              <w:rPr>
                <w:rFonts w:ascii="Cambria" w:hAnsi="Cambria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585</w:t>
            </w:r>
          </w:p>
        </w:tc>
        <w:tc>
          <w:tcPr>
            <w:tcW w:w="935" w:type="dxa"/>
          </w:tcPr>
          <w:p w14:paraId="5BC9BD15" w14:textId="550F9177" w:rsidR="00FE7CF9" w:rsidRPr="00112099" w:rsidRDefault="00FE7CF9" w:rsidP="007E1E6E">
            <w:pPr>
              <w:spacing w:after="60"/>
              <w:rPr>
                <w:rFonts w:ascii="Cambria" w:hAnsi="Cambria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147</w:t>
            </w:r>
          </w:p>
        </w:tc>
      </w:tr>
      <w:tr w:rsidR="00FE7CF9" w14:paraId="16C8FA8C" w14:textId="77777777" w:rsidTr="00FE7CF9">
        <w:trPr>
          <w:trHeight w:val="150"/>
        </w:trPr>
        <w:tc>
          <w:tcPr>
            <w:tcW w:w="930" w:type="dxa"/>
          </w:tcPr>
          <w:p w14:paraId="5524105A" w14:textId="0777A81C" w:rsidR="00FE7CF9" w:rsidRPr="00112099" w:rsidRDefault="00FE7CF9" w:rsidP="007E1E6E">
            <w:pPr>
              <w:spacing w:after="60"/>
              <w:rPr>
                <w:rFonts w:ascii="Cambria" w:hAnsi="Cambria"/>
                <w:sz w:val="20"/>
                <w:szCs w:val="20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test</w:t>
            </w:r>
          </w:p>
        </w:tc>
        <w:tc>
          <w:tcPr>
            <w:tcW w:w="930" w:type="dxa"/>
          </w:tcPr>
          <w:p w14:paraId="639422F0" w14:textId="736A55D7" w:rsidR="00FE7CF9" w:rsidRPr="00112099" w:rsidRDefault="00FE7CF9" w:rsidP="007E1E6E">
            <w:pPr>
              <w:spacing w:after="60"/>
              <w:rPr>
                <w:rFonts w:ascii="Cambria" w:hAnsi="Cambria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1325</w:t>
            </w:r>
          </w:p>
        </w:tc>
        <w:tc>
          <w:tcPr>
            <w:tcW w:w="931" w:type="dxa"/>
          </w:tcPr>
          <w:p w14:paraId="450D2DA6" w14:textId="6E2B694F" w:rsidR="00FE7CF9" w:rsidRPr="00112099" w:rsidRDefault="00FE7CF9" w:rsidP="007E1E6E">
            <w:pPr>
              <w:spacing w:after="60"/>
              <w:rPr>
                <w:rFonts w:ascii="Cambria" w:hAnsi="Cambria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232</w:t>
            </w:r>
          </w:p>
        </w:tc>
        <w:tc>
          <w:tcPr>
            <w:tcW w:w="935" w:type="dxa"/>
          </w:tcPr>
          <w:p w14:paraId="259D18B1" w14:textId="1B61CD0B" w:rsidR="00FE7CF9" w:rsidRPr="00112099" w:rsidRDefault="00FE7CF9" w:rsidP="007E1E6E">
            <w:pPr>
              <w:spacing w:after="60"/>
              <w:rPr>
                <w:rFonts w:ascii="Cambria" w:hAnsi="Cambria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125</w:t>
            </w:r>
          </w:p>
        </w:tc>
      </w:tr>
      <w:tr w:rsidR="00FE7CF9" w14:paraId="79F08249" w14:textId="77777777" w:rsidTr="00FE7CF9">
        <w:trPr>
          <w:trHeight w:val="79"/>
        </w:trPr>
        <w:tc>
          <w:tcPr>
            <w:tcW w:w="930" w:type="dxa"/>
          </w:tcPr>
          <w:p w14:paraId="374081D6" w14:textId="6064B429" w:rsidR="00FE7CF9" w:rsidRPr="00112099" w:rsidRDefault="00FE7CF9" w:rsidP="007E1E6E">
            <w:pPr>
              <w:spacing w:after="6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12099">
              <w:rPr>
                <w:rFonts w:ascii="Cambria" w:hAnsi="Cambria"/>
                <w:sz w:val="20"/>
                <w:szCs w:val="20"/>
              </w:rPr>
              <w:t>dev</w:t>
            </w:r>
            <w:proofErr w:type="spellEnd"/>
          </w:p>
        </w:tc>
        <w:tc>
          <w:tcPr>
            <w:tcW w:w="930" w:type="dxa"/>
          </w:tcPr>
          <w:p w14:paraId="40C1B254" w14:textId="778BFDEF" w:rsidR="00FE7CF9" w:rsidRPr="00112099" w:rsidRDefault="00FE7CF9" w:rsidP="007E1E6E">
            <w:pPr>
              <w:spacing w:after="60"/>
              <w:rPr>
                <w:rFonts w:ascii="Cambria" w:hAnsi="Cambria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1681</w:t>
            </w:r>
          </w:p>
        </w:tc>
        <w:tc>
          <w:tcPr>
            <w:tcW w:w="931" w:type="dxa"/>
          </w:tcPr>
          <w:p w14:paraId="61E31435" w14:textId="0FA4D3F7" w:rsidR="00FE7CF9" w:rsidRPr="00112099" w:rsidRDefault="00FE7CF9" w:rsidP="007E1E6E">
            <w:pPr>
              <w:spacing w:after="60"/>
              <w:rPr>
                <w:rFonts w:ascii="Cambria" w:hAnsi="Cambria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109</w:t>
            </w:r>
          </w:p>
        </w:tc>
        <w:tc>
          <w:tcPr>
            <w:tcW w:w="935" w:type="dxa"/>
          </w:tcPr>
          <w:p w14:paraId="5F8B3155" w14:textId="7332E83B" w:rsidR="00FE7CF9" w:rsidRPr="00112099" w:rsidRDefault="00FE7CF9" w:rsidP="007E1E6E">
            <w:pPr>
              <w:spacing w:after="60"/>
              <w:rPr>
                <w:rFonts w:ascii="Cambria" w:hAnsi="Cambria"/>
              </w:rPr>
            </w:pPr>
            <w:r w:rsidRPr="00112099">
              <w:rPr>
                <w:rFonts w:ascii="Cambria" w:hAnsi="Cambria"/>
                <w:sz w:val="20"/>
                <w:szCs w:val="20"/>
              </w:rPr>
              <w:t>96</w:t>
            </w:r>
          </w:p>
        </w:tc>
      </w:tr>
    </w:tbl>
    <w:p w14:paraId="769BC92A" w14:textId="77777777" w:rsidR="00CF3876" w:rsidRDefault="00CF3876" w:rsidP="007E1E6E">
      <w:pPr>
        <w:spacing w:after="60"/>
        <w:ind w:left="360"/>
      </w:pPr>
    </w:p>
    <w:p w14:paraId="69041018" w14:textId="6EE48AFE" w:rsidR="00CF3876" w:rsidRPr="00FE7CF9" w:rsidRDefault="00FE7CF9" w:rsidP="00FE7CF9">
      <w:pPr>
        <w:spacing w:after="60"/>
        <w:rPr>
          <w:rFonts w:ascii="Cambria" w:hAnsi="Cambria"/>
          <w:sz w:val="20"/>
          <w:szCs w:val="20"/>
        </w:rPr>
      </w:pPr>
      <w:r w:rsidRPr="00FE7CF9">
        <w:rPr>
          <w:rFonts w:ascii="Cambria" w:hAnsi="Cambria"/>
          <w:sz w:val="20"/>
          <w:szCs w:val="20"/>
        </w:rPr>
        <w:t>Počet používateľov implementovaného systému FINU/HRO: cca 310 aj s technickými používateľmi</w:t>
      </w:r>
    </w:p>
    <w:p w14:paraId="4949A89B" w14:textId="77777777" w:rsidR="00CF3876" w:rsidRDefault="00CF3876" w:rsidP="007E1E6E">
      <w:pPr>
        <w:spacing w:after="60"/>
        <w:ind w:left="360"/>
      </w:pPr>
    </w:p>
    <w:p w14:paraId="1797FD3F" w14:textId="33386CB1" w:rsidR="00CF3876" w:rsidRPr="00FE7CF9" w:rsidRDefault="00FE7CF9" w:rsidP="00FE7CF9">
      <w:pPr>
        <w:spacing w:after="60"/>
        <w:rPr>
          <w:rFonts w:ascii="Cambria" w:hAnsi="Cambria"/>
          <w:sz w:val="20"/>
          <w:szCs w:val="20"/>
        </w:rPr>
      </w:pPr>
      <w:r w:rsidRPr="00FE7CF9">
        <w:rPr>
          <w:rFonts w:ascii="Cambria" w:hAnsi="Cambria"/>
          <w:sz w:val="20"/>
          <w:szCs w:val="20"/>
        </w:rPr>
        <w:t>Početnosť činností pre jednotlivé typy servisných služieb:</w:t>
      </w:r>
    </w:p>
    <w:p w14:paraId="39B3A4EF" w14:textId="77777777" w:rsidR="00CF3876" w:rsidRDefault="00CF3876" w:rsidP="007E1E6E">
      <w:pPr>
        <w:spacing w:after="60"/>
        <w:ind w:left="360"/>
      </w:pPr>
    </w:p>
    <w:p w14:paraId="7D66C5FD" w14:textId="00A41387" w:rsidR="00CF3876" w:rsidRDefault="00E8085C" w:rsidP="007E1E6E">
      <w:pPr>
        <w:spacing w:after="60"/>
        <w:ind w:left="360"/>
      </w:pPr>
      <w:r>
        <w:object w:dxaOrig="1287" w:dyaOrig="837" w14:anchorId="3E50D770">
          <v:shape id="_x0000_i1033" type="#_x0000_t75" style="width:64.5pt;height:41.25pt" o:ole="">
            <v:imagedata r:id="rId16" o:title=""/>
          </v:shape>
          <o:OLEObject Type="Embed" ProgID="Excel.Sheet.12" ShapeID="_x0000_i1033" DrawAspect="Icon" ObjectID="_1757765450" r:id="rId17"/>
        </w:object>
      </w:r>
    </w:p>
    <w:p w14:paraId="5BD274D4" w14:textId="77777777" w:rsidR="00CF3876" w:rsidRDefault="00CF3876" w:rsidP="007E1E6E">
      <w:pPr>
        <w:spacing w:after="60"/>
        <w:ind w:left="360"/>
      </w:pPr>
    </w:p>
    <w:p w14:paraId="2121F5EB" w14:textId="77777777" w:rsidR="00CF3876" w:rsidRDefault="00CF3876" w:rsidP="007E1E6E">
      <w:pPr>
        <w:spacing w:after="60"/>
        <w:ind w:left="360"/>
      </w:pPr>
    </w:p>
    <w:p w14:paraId="021B7A1E" w14:textId="43C6B628" w:rsidR="003618BA" w:rsidRPr="006C7835" w:rsidRDefault="003618BA" w:rsidP="007E1E6E">
      <w:pPr>
        <w:spacing w:after="60"/>
        <w:ind w:left="360"/>
        <w:rPr>
          <w:b/>
          <w:bCs/>
        </w:rPr>
      </w:pPr>
      <w:r w:rsidRPr="006C7835">
        <w:rPr>
          <w:b/>
          <w:bCs/>
        </w:rPr>
        <w:lastRenderedPageBreak/>
        <w:t>Biznis architektúra</w:t>
      </w:r>
    </w:p>
    <w:p w14:paraId="64FE425E" w14:textId="5F0B0F23" w:rsidR="003618BA" w:rsidRDefault="003618BA" w:rsidP="007E1E6E">
      <w:pPr>
        <w:spacing w:after="60"/>
        <w:ind w:left="360"/>
      </w:pPr>
      <w:r w:rsidRPr="003F694D">
        <w:t xml:space="preserve">Model biznis architektúry je uvedený na obrázku č. </w:t>
      </w:r>
      <w:r>
        <w:t>1</w:t>
      </w:r>
      <w:r w:rsidRPr="003F694D">
        <w:t>. V modeli  sú aplikované stavebné bloky – aktéri, prístupové miesta a rozhrania, biznis služby a biznis funkcie.</w:t>
      </w:r>
    </w:p>
    <w:p w14:paraId="64A89CDF" w14:textId="4555DBBB" w:rsidR="003618BA" w:rsidRDefault="003618BA" w:rsidP="007E1E6E">
      <w:pPr>
        <w:spacing w:after="60"/>
        <w:ind w:left="360"/>
      </w:pPr>
    </w:p>
    <w:p w14:paraId="508596CF" w14:textId="09DB7DD6" w:rsidR="009D440D" w:rsidRDefault="00CF3876" w:rsidP="007E1E6E">
      <w:pPr>
        <w:spacing w:after="60"/>
        <w:ind w:left="360"/>
      </w:pPr>
      <w:r w:rsidRPr="003F694D">
        <w:rPr>
          <w:noProof/>
        </w:rPr>
        <w:lastRenderedPageBreak/>
        <w:drawing>
          <wp:inline distT="0" distB="0" distL="0" distR="0" wp14:anchorId="4477399B" wp14:editId="75FAAEBF">
            <wp:extent cx="5562600" cy="8161020"/>
            <wp:effectExtent l="19050" t="19050" r="1905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" t="2345" r="1588" b="1016"/>
                    <a:stretch/>
                  </pic:blipFill>
                  <pic:spPr bwMode="auto">
                    <a:xfrm>
                      <a:off x="0" y="0"/>
                      <a:ext cx="5562600" cy="81610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2F46A" w14:textId="53D2377C" w:rsidR="006C7835" w:rsidRPr="00F45185" w:rsidRDefault="006C7835" w:rsidP="006C7835">
      <w:pPr>
        <w:spacing w:after="60"/>
        <w:ind w:left="360"/>
        <w:rPr>
          <w:i/>
          <w:iCs/>
          <w:sz w:val="18"/>
          <w:szCs w:val="18"/>
        </w:rPr>
      </w:pPr>
      <w:r w:rsidRPr="00F45185">
        <w:rPr>
          <w:i/>
          <w:iCs/>
          <w:sz w:val="18"/>
          <w:szCs w:val="18"/>
        </w:rPr>
        <w:t>Obrázok č. 1</w:t>
      </w:r>
      <w:r w:rsidR="00F45185" w:rsidRPr="00F45185">
        <w:rPr>
          <w:i/>
          <w:iCs/>
          <w:sz w:val="18"/>
          <w:szCs w:val="18"/>
        </w:rPr>
        <w:t xml:space="preserve"> Biznis architektúra</w:t>
      </w:r>
    </w:p>
    <w:p w14:paraId="07D034BA" w14:textId="77777777" w:rsidR="002D048C" w:rsidRPr="003F694D" w:rsidRDefault="002D048C" w:rsidP="002D048C">
      <w:pPr>
        <w:jc w:val="both"/>
      </w:pPr>
      <w:r w:rsidRPr="003F694D">
        <w:rPr>
          <w:rFonts w:eastAsiaTheme="minorEastAsia"/>
          <w:color w:val="000000" w:themeColor="text1"/>
        </w:rPr>
        <w:lastRenderedPageBreak/>
        <w:t>Vnútropodnikové služby zastrešujú služby ERP systému, bankové služby zastrešujú služby pre verejnosť a služby pre zamestnancov.</w:t>
      </w:r>
      <w:r w:rsidRPr="003F694D">
        <w:t xml:space="preserve"> </w:t>
      </w:r>
    </w:p>
    <w:p w14:paraId="59838AD3" w14:textId="77777777" w:rsidR="002D048C" w:rsidRPr="003F694D" w:rsidRDefault="002D048C" w:rsidP="002D048C">
      <w:pPr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IS FINU/HRO poskytuje podporu pri realizácií nasledovných agend:</w:t>
      </w:r>
    </w:p>
    <w:p w14:paraId="2671B6E4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Správa klientskych a zamestnaneckých účtov a úverov;</w:t>
      </w:r>
    </w:p>
    <w:p w14:paraId="7382146E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Platby a spracovanie transakcií;</w:t>
      </w:r>
    </w:p>
    <w:p w14:paraId="6056A45D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Vysporiadanie bankových obchodov;</w:t>
      </w:r>
    </w:p>
    <w:p w14:paraId="76EC6CE8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Majetkové účtovníctvo;</w:t>
      </w:r>
    </w:p>
    <w:p w14:paraId="671AFA6A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Finančné účtovníctvo;</w:t>
      </w:r>
    </w:p>
    <w:p w14:paraId="11059159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Daňové účtovníctvo;</w:t>
      </w:r>
    </w:p>
    <w:p w14:paraId="1DA5B8D5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proofErr w:type="spellStart"/>
      <w:r w:rsidRPr="003F694D">
        <w:rPr>
          <w:rFonts w:eastAsiaTheme="minorEastAsia"/>
          <w:color w:val="000000" w:themeColor="text1"/>
        </w:rPr>
        <w:t>Kontroling</w:t>
      </w:r>
      <w:proofErr w:type="spellEnd"/>
      <w:r w:rsidRPr="003F694D">
        <w:rPr>
          <w:rFonts w:eastAsiaTheme="minorEastAsia"/>
          <w:color w:val="000000" w:themeColor="text1"/>
        </w:rPr>
        <w:t>;</w:t>
      </w:r>
    </w:p>
    <w:p w14:paraId="79B09160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Investičný manažment;</w:t>
      </w:r>
    </w:p>
    <w:p w14:paraId="05C61374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Výkazníctvo;</w:t>
      </w:r>
    </w:p>
    <w:p w14:paraId="1AE4FB1F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Vykonávanie hotovostných operácií na pokladniciach malých výplat;</w:t>
      </w:r>
    </w:p>
    <w:p w14:paraId="5D828DA8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AML;</w:t>
      </w:r>
    </w:p>
    <w:p w14:paraId="7481451D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Hospodárske účtovníctvo;</w:t>
      </w:r>
    </w:p>
    <w:p w14:paraId="1E4556A2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Predaj a distribúcia;</w:t>
      </w:r>
    </w:p>
    <w:p w14:paraId="65194A4F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Auto</w:t>
      </w:r>
      <w:r>
        <w:rPr>
          <w:rFonts w:eastAsiaTheme="minorEastAsia"/>
          <w:color w:val="000000" w:themeColor="text1"/>
        </w:rPr>
        <w:t>-</w:t>
      </w:r>
      <w:r w:rsidRPr="003F694D">
        <w:rPr>
          <w:rFonts w:eastAsiaTheme="minorEastAsia"/>
          <w:color w:val="000000" w:themeColor="text1"/>
        </w:rPr>
        <w:t>prevádzka a energetické hospodárstvo;</w:t>
      </w:r>
    </w:p>
    <w:p w14:paraId="1644A127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003F694D">
        <w:rPr>
          <w:rFonts w:eastAsiaTheme="minorEastAsia"/>
          <w:color w:val="000000" w:themeColor="text1"/>
        </w:rPr>
        <w:t>Materiálové hospodárstvo.</w:t>
      </w:r>
    </w:p>
    <w:p w14:paraId="61E71096" w14:textId="77777777" w:rsidR="002D048C" w:rsidRPr="003F694D" w:rsidRDefault="002D048C" w:rsidP="002D048C">
      <w:pPr>
        <w:jc w:val="both"/>
      </w:pPr>
      <w:r w:rsidRPr="003F694D">
        <w:t>Kľúčovými aktérmi v ekosystéme NBS sú predovšetkým zamestnanci NBS.</w:t>
      </w:r>
    </w:p>
    <w:p w14:paraId="787425E7" w14:textId="77777777" w:rsidR="002D048C" w:rsidRPr="003F694D" w:rsidRDefault="002D048C" w:rsidP="002D048C">
      <w:pPr>
        <w:jc w:val="both"/>
      </w:pPr>
      <w:r w:rsidRPr="003F694D">
        <w:t xml:space="preserve">(Vo všeobecnosti aktér je reálna osoba alebo organizácia, ale taktiež to môže byt aj systém, ktorý bude daný systém využívať a reálne sa podieľa na realizácii rôznych procesov). </w:t>
      </w:r>
    </w:p>
    <w:p w14:paraId="1ADEFFD6" w14:textId="77777777" w:rsidR="002D048C" w:rsidRPr="003F694D" w:rsidRDefault="002D048C" w:rsidP="002D048C">
      <w:pPr>
        <w:jc w:val="both"/>
      </w:pPr>
      <w:r w:rsidRPr="003F694D">
        <w:t>Aktéri, ktorí prichádzajúci do styku s vnútropodnikovými službami a bankovými službami sú nasledovní:</w:t>
      </w:r>
    </w:p>
    <w:p w14:paraId="78098463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</w:pPr>
      <w:r w:rsidRPr="003F694D">
        <w:t>Zamestnanec NBS:</w:t>
      </w:r>
    </w:p>
    <w:p w14:paraId="2028CD64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Správa a vedenie bežného, vkladového alebo úverového účtu;</w:t>
      </w:r>
    </w:p>
    <w:p w14:paraId="585C3FE1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Výplata miezd;</w:t>
      </w:r>
    </w:p>
    <w:p w14:paraId="660B90AC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Objednávanie materiálu a služieb;</w:t>
      </w:r>
    </w:p>
    <w:p w14:paraId="64BA12F0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>
        <w:t xml:space="preserve"> </w:t>
      </w:r>
      <w:r w:rsidRPr="003F694D">
        <w:t>Výmena bankoviek a mincí (realizované na pokladniciach NBS)</w:t>
      </w:r>
      <w:r w:rsidRPr="003F694D">
        <w:rPr>
          <w:rFonts w:eastAsiaTheme="minorEastAsia"/>
          <w:color w:val="000000" w:themeColor="text1"/>
        </w:rPr>
        <w:t>;</w:t>
      </w:r>
    </w:p>
    <w:p w14:paraId="51757613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rPr>
          <w:rFonts w:eastAsiaTheme="minorEastAsia"/>
          <w:color w:val="000000" w:themeColor="text1"/>
        </w:rPr>
        <w:t> Vecné posúdenie došlých faktúr a ich schvaľovanie;</w:t>
      </w:r>
    </w:p>
    <w:p w14:paraId="223F9E88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rPr>
          <w:rFonts w:eastAsiaTheme="minorEastAsia"/>
          <w:color w:val="000000" w:themeColor="text1"/>
        </w:rPr>
        <w:t> Dodávateľské zmluvy;</w:t>
      </w:r>
    </w:p>
    <w:p w14:paraId="7DB182E5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Zúčtovanie služobných ciest (preddavkov a pod.).</w:t>
      </w:r>
    </w:p>
    <w:p w14:paraId="1DF793F0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</w:pPr>
      <w:r w:rsidRPr="003F694D">
        <w:t>Pracovník odboru finančného riadenia:</w:t>
      </w:r>
    </w:p>
    <w:p w14:paraId="3DF324B2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Finančné účtovníctvo (správa kmeňových dát, účtovníctvo hl. a vedľajších kníh, správa pohľadávok z príspevkov, poplatkov  a pokút subjektov finančného trhu, reporty, procesy dennej a ročnej uzávierky, finančné účtovníctvo vrátane príspevkov a poplatkov subjektov finančného trhu;</w:t>
      </w:r>
    </w:p>
    <w:p w14:paraId="33D39795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Účtovníctvo majetku (účtovanie, výkazníctvo, organizačné jednotky a základné nastavenia);</w:t>
      </w:r>
    </w:p>
    <w:p w14:paraId="576AFD94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proofErr w:type="spellStart"/>
      <w:r w:rsidRPr="003F694D">
        <w:t>Kontroling</w:t>
      </w:r>
      <w:proofErr w:type="spellEnd"/>
      <w:r w:rsidRPr="003F694D">
        <w:t>;</w:t>
      </w:r>
    </w:p>
    <w:p w14:paraId="3E8EF76C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Investičný manažment;</w:t>
      </w:r>
    </w:p>
    <w:p w14:paraId="0DB6D037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Materiálové hospodárstvo (kmeňové záznamy, vedenie zásob, fakturácia);</w:t>
      </w:r>
    </w:p>
    <w:p w14:paraId="395E89A0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lastRenderedPageBreak/>
        <w:t>Predaj a distribúcia (kmeňové záznamy, odberateľské faktúry) ;</w:t>
      </w:r>
    </w:p>
    <w:p w14:paraId="7AD28913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 xml:space="preserve"> Správa daní a poplatkov (DPH, zrážková daň, zabezpečenie dane, daň z nehnuteľnosti, miestne dane);</w:t>
      </w:r>
    </w:p>
    <w:p w14:paraId="79E1A8D1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proofErr w:type="spellStart"/>
      <w:r w:rsidRPr="003F694D">
        <w:t>Reporting</w:t>
      </w:r>
      <w:proofErr w:type="spellEnd"/>
      <w:r w:rsidRPr="003F694D">
        <w:t>.</w:t>
      </w:r>
    </w:p>
    <w:p w14:paraId="61165123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</w:pPr>
      <w:r w:rsidRPr="003F694D">
        <w:t>Pracovník odboru vysporiadania bankových obchodov:</w:t>
      </w:r>
    </w:p>
    <w:p w14:paraId="30338541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Administrácia podmienok, produktov a druhov operácií;</w:t>
      </w:r>
    </w:p>
    <w:p w14:paraId="438BEAC6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Kontrola a monitoring neobvyklých obchodných operácií a ďalšie.</w:t>
      </w:r>
    </w:p>
    <w:p w14:paraId="69BA97CD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</w:pPr>
      <w:r w:rsidRPr="003F694D">
        <w:t>Pracovník odboru platobných systémov:</w:t>
      </w:r>
    </w:p>
    <w:p w14:paraId="365E8690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Založenie a správa klientov a účtov: bežných, vkladových, úverových účtov fyzických osôb, právnických osôb a finančných inštitúcií a technických účtov NBS;</w:t>
      </w:r>
    </w:p>
    <w:p w14:paraId="635D1C26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Administrácia a správa produktov a kmeňových dát;</w:t>
      </w:r>
    </w:p>
    <w:p w14:paraId="060DD5D8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Spracovanie transakcií;</w:t>
      </w:r>
    </w:p>
    <w:p w14:paraId="5BD1727E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Kontrola spracovania transakcií;</w:t>
      </w:r>
    </w:p>
    <w:p w14:paraId="0D22405E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Správa denných kontrol a výkazov;</w:t>
      </w:r>
    </w:p>
    <w:p w14:paraId="760BFB89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 xml:space="preserve"> Zúčtovanie kartových a platobných operácií.</w:t>
      </w:r>
    </w:p>
    <w:p w14:paraId="44BDA91C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</w:pPr>
      <w:r w:rsidRPr="003F694D">
        <w:t>Pracovník odboru riadenia peňažnej hotovosti:</w:t>
      </w:r>
    </w:p>
    <w:p w14:paraId="3B0D7834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 xml:space="preserve"> Zadávanie kompletnej identifikácie klientov (FO, </w:t>
      </w:r>
      <w:proofErr w:type="spellStart"/>
      <w:r w:rsidRPr="003F694D">
        <w:t>FOp</w:t>
      </w:r>
      <w:proofErr w:type="spellEnd"/>
      <w:r w:rsidRPr="003F694D">
        <w:t>, PO) a kontroly v registroch a databázach (stratené a odcudzené doklady, registre PO a </w:t>
      </w:r>
      <w:proofErr w:type="spellStart"/>
      <w:r w:rsidRPr="003F694D">
        <w:t>FOp</w:t>
      </w:r>
      <w:proofErr w:type="spellEnd"/>
      <w:r w:rsidRPr="003F694D">
        <w:t>, databázy PEP a pod., registre KUV);</w:t>
      </w:r>
    </w:p>
    <w:p w14:paraId="0EC9455A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Zadávanie operácií hotovostných výmen(eurá za eurá, poškodené bankovky a mince, výmena slovenských korún) ;</w:t>
      </w:r>
    </w:p>
    <w:p w14:paraId="5A7634BB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Účtovanie vybraných typov výmen;</w:t>
      </w:r>
    </w:p>
    <w:p w14:paraId="03D1DC21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Účtovanie pokladníc na konci dňa.</w:t>
      </w:r>
    </w:p>
    <w:p w14:paraId="24F68A93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</w:pPr>
      <w:r w:rsidRPr="003F694D">
        <w:t>Pracovník odboru technických služieb:</w:t>
      </w:r>
    </w:p>
    <w:p w14:paraId="212EDFCD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Opravy a údržby (plánované údržby, realizácie, technické objekty);</w:t>
      </w:r>
    </w:p>
    <w:p w14:paraId="1E4C905E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Opravy a údržby technologických zariadení objektov NBS;</w:t>
      </w:r>
    </w:p>
    <w:p w14:paraId="7A4B3844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Investičná činnosť súvisiaca s obnovou stavebných častí;</w:t>
      </w:r>
    </w:p>
    <w:p w14:paraId="32BA8BE7" w14:textId="77777777" w:rsidR="002D048C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Správa vozového parku NBS;</w:t>
      </w:r>
    </w:p>
    <w:p w14:paraId="3995F8DB" w14:textId="77777777" w:rsidR="002D048C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Zabezpečuje upratovanie objektov, údržbu komunikácií a zelene.</w:t>
      </w:r>
    </w:p>
    <w:p w14:paraId="4978BE87" w14:textId="77777777" w:rsidR="002D048C" w:rsidRPr="003F694D" w:rsidRDefault="002D048C" w:rsidP="002D048C">
      <w:pPr>
        <w:pStyle w:val="ListParagraph"/>
        <w:numPr>
          <w:ilvl w:val="0"/>
          <w:numId w:val="3"/>
        </w:numPr>
        <w:spacing w:after="160" w:line="259" w:lineRule="auto"/>
        <w:jc w:val="both"/>
      </w:pPr>
      <w:r w:rsidRPr="003F694D">
        <w:t>Pracovník odboru hospodárskych služieb:</w:t>
      </w:r>
    </w:p>
    <w:p w14:paraId="38321A22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Správa majetku;</w:t>
      </w:r>
    </w:p>
    <w:p w14:paraId="75216310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Správa skladov;</w:t>
      </w:r>
    </w:p>
    <w:p w14:paraId="1CE25F6A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Stravovacie služby;</w:t>
      </w:r>
    </w:p>
    <w:p w14:paraId="33733010" w14:textId="77777777" w:rsidR="002D048C" w:rsidRPr="003F694D" w:rsidRDefault="002D048C" w:rsidP="002D048C">
      <w:pPr>
        <w:pStyle w:val="ListParagraph"/>
        <w:numPr>
          <w:ilvl w:val="1"/>
          <w:numId w:val="3"/>
        </w:numPr>
        <w:spacing w:after="160" w:line="259" w:lineRule="auto"/>
        <w:jc w:val="both"/>
      </w:pPr>
      <w:r w:rsidRPr="003F694D">
        <w:t> Pracovné cesty.</w:t>
      </w:r>
    </w:p>
    <w:p w14:paraId="6507A562" w14:textId="77777777" w:rsidR="002D048C" w:rsidRPr="003F694D" w:rsidRDefault="002D048C" w:rsidP="002D048C">
      <w:pPr>
        <w:jc w:val="both"/>
      </w:pPr>
      <w:r w:rsidRPr="003F694D">
        <w:t>Ďalšími aktérmi je verejnosť, teda fyzické (aj fyzické osoby podnikatelia) a právnické osoby.</w:t>
      </w:r>
    </w:p>
    <w:p w14:paraId="71609D0E" w14:textId="77777777" w:rsidR="002D048C" w:rsidRPr="003F694D" w:rsidRDefault="002D048C" w:rsidP="002D048C">
      <w:pPr>
        <w:pStyle w:val="ListParagraph"/>
        <w:numPr>
          <w:ilvl w:val="0"/>
          <w:numId w:val="4"/>
        </w:numPr>
        <w:spacing w:after="160" w:line="259" w:lineRule="auto"/>
        <w:jc w:val="both"/>
      </w:pPr>
      <w:r w:rsidRPr="003F694D">
        <w:t>Fyzické osoby (aj fyzické osoby podnikatelia a FO ako subjekty finančného trhu):</w:t>
      </w:r>
    </w:p>
    <w:p w14:paraId="227616FA" w14:textId="77777777" w:rsidR="002D048C" w:rsidRPr="003F694D" w:rsidRDefault="002D048C" w:rsidP="002D048C">
      <w:pPr>
        <w:pStyle w:val="ListParagraph"/>
        <w:numPr>
          <w:ilvl w:val="1"/>
          <w:numId w:val="4"/>
        </w:numPr>
        <w:spacing w:after="160" w:line="259" w:lineRule="auto"/>
        <w:jc w:val="both"/>
      </w:pPr>
      <w:r w:rsidRPr="003F694D">
        <w:t> Dohľad na subjektami finančného trhu;</w:t>
      </w:r>
    </w:p>
    <w:p w14:paraId="275C3616" w14:textId="77777777" w:rsidR="002D048C" w:rsidRPr="003F694D" w:rsidRDefault="002D048C" w:rsidP="002D048C">
      <w:pPr>
        <w:pStyle w:val="ListParagraph"/>
        <w:numPr>
          <w:ilvl w:val="1"/>
          <w:numId w:val="4"/>
        </w:numPr>
        <w:spacing w:after="160" w:line="259" w:lineRule="auto"/>
        <w:jc w:val="both"/>
      </w:pPr>
      <w:r w:rsidRPr="003F694D">
        <w:t xml:space="preserve"> Predaj numizmatického a zberateľského materiálu;</w:t>
      </w:r>
    </w:p>
    <w:p w14:paraId="1793A57D" w14:textId="77777777" w:rsidR="002D048C" w:rsidRPr="003F694D" w:rsidRDefault="002D048C" w:rsidP="002D048C">
      <w:pPr>
        <w:pStyle w:val="ListParagraph"/>
        <w:numPr>
          <w:ilvl w:val="1"/>
          <w:numId w:val="4"/>
        </w:numPr>
        <w:spacing w:after="160" w:line="259" w:lineRule="auto"/>
        <w:jc w:val="both"/>
      </w:pPr>
      <w:r w:rsidRPr="003F694D">
        <w:t xml:space="preserve"> Výmena poškodených bankoviek a mincí;</w:t>
      </w:r>
    </w:p>
    <w:p w14:paraId="1640686E" w14:textId="77777777" w:rsidR="002D048C" w:rsidRPr="003F694D" w:rsidRDefault="002D048C" w:rsidP="002D048C">
      <w:pPr>
        <w:pStyle w:val="ListParagraph"/>
        <w:numPr>
          <w:ilvl w:val="1"/>
          <w:numId w:val="4"/>
        </w:numPr>
        <w:spacing w:after="160" w:line="259" w:lineRule="auto"/>
        <w:jc w:val="both"/>
      </w:pPr>
      <w:r w:rsidRPr="003F694D">
        <w:t> Výmena slovenských bankoviek;</w:t>
      </w:r>
    </w:p>
    <w:p w14:paraId="3FF30A65" w14:textId="77777777" w:rsidR="002D048C" w:rsidRPr="003F694D" w:rsidRDefault="002D048C" w:rsidP="002D048C">
      <w:pPr>
        <w:pStyle w:val="ListParagraph"/>
        <w:numPr>
          <w:ilvl w:val="1"/>
          <w:numId w:val="4"/>
        </w:numPr>
        <w:spacing w:after="160" w:line="259" w:lineRule="auto"/>
        <w:jc w:val="both"/>
      </w:pPr>
      <w:r w:rsidRPr="003F694D">
        <w:t> Poskytovanie služieb súvisiacich s registráciou subjektov finančného trhu;</w:t>
      </w:r>
    </w:p>
    <w:p w14:paraId="69E294A3" w14:textId="77777777" w:rsidR="002D048C" w:rsidRPr="003F694D" w:rsidRDefault="002D048C" w:rsidP="002D048C">
      <w:pPr>
        <w:pStyle w:val="ListParagraph"/>
        <w:numPr>
          <w:ilvl w:val="1"/>
          <w:numId w:val="4"/>
        </w:numPr>
        <w:spacing w:after="160" w:line="259" w:lineRule="auto"/>
        <w:jc w:val="both"/>
      </w:pPr>
      <w:r w:rsidRPr="003F694D">
        <w:t> Poskytovanie informácií, vzdelávanie a ďalšie.</w:t>
      </w:r>
    </w:p>
    <w:p w14:paraId="346D2A26" w14:textId="77777777" w:rsidR="002D048C" w:rsidRPr="003F694D" w:rsidRDefault="002D048C" w:rsidP="002D048C">
      <w:pPr>
        <w:pStyle w:val="ListParagraph"/>
        <w:ind w:left="1440"/>
        <w:jc w:val="both"/>
      </w:pPr>
    </w:p>
    <w:p w14:paraId="5AF6D416" w14:textId="77777777" w:rsidR="002D048C" w:rsidRPr="003F694D" w:rsidRDefault="002D048C" w:rsidP="002D048C">
      <w:pPr>
        <w:pStyle w:val="ListParagraph"/>
        <w:numPr>
          <w:ilvl w:val="0"/>
          <w:numId w:val="4"/>
        </w:numPr>
        <w:spacing w:after="160" w:line="259" w:lineRule="auto"/>
        <w:jc w:val="both"/>
      </w:pPr>
      <w:r w:rsidRPr="003F694D">
        <w:t>Právnické osoby (aj PO ako subjekty finančného trhu):</w:t>
      </w:r>
    </w:p>
    <w:p w14:paraId="4A33397E" w14:textId="77777777" w:rsidR="002D048C" w:rsidRPr="003F694D" w:rsidRDefault="002D048C" w:rsidP="002D048C">
      <w:pPr>
        <w:pStyle w:val="ListParagraph"/>
        <w:numPr>
          <w:ilvl w:val="1"/>
          <w:numId w:val="4"/>
        </w:numPr>
        <w:spacing w:after="160" w:line="259" w:lineRule="auto"/>
        <w:jc w:val="both"/>
      </w:pPr>
      <w:r w:rsidRPr="003F694D">
        <w:lastRenderedPageBreak/>
        <w:t>Dohľad na subjektami finančného trhu;</w:t>
      </w:r>
    </w:p>
    <w:p w14:paraId="2A316706" w14:textId="77777777" w:rsidR="002D048C" w:rsidRPr="003F694D" w:rsidRDefault="002D048C" w:rsidP="002D048C">
      <w:pPr>
        <w:pStyle w:val="ListParagraph"/>
        <w:numPr>
          <w:ilvl w:val="1"/>
          <w:numId w:val="4"/>
        </w:numPr>
        <w:spacing w:after="160" w:line="259" w:lineRule="auto"/>
        <w:jc w:val="both"/>
      </w:pPr>
      <w:r w:rsidRPr="003F694D">
        <w:t>Predaj numizmatického a zberateľského materiálu;</w:t>
      </w:r>
    </w:p>
    <w:p w14:paraId="444A1943" w14:textId="77777777" w:rsidR="002D048C" w:rsidRPr="003F694D" w:rsidRDefault="002D048C" w:rsidP="002D048C">
      <w:pPr>
        <w:pStyle w:val="ListParagraph"/>
        <w:numPr>
          <w:ilvl w:val="1"/>
          <w:numId w:val="4"/>
        </w:numPr>
        <w:spacing w:after="160" w:line="259" w:lineRule="auto"/>
        <w:jc w:val="both"/>
      </w:pPr>
      <w:r w:rsidRPr="003F694D">
        <w:t>Výmena poškodených bankoviek a mincí;</w:t>
      </w:r>
    </w:p>
    <w:p w14:paraId="69B7EF23" w14:textId="77777777" w:rsidR="002D048C" w:rsidRPr="003F694D" w:rsidRDefault="002D048C" w:rsidP="002D048C">
      <w:pPr>
        <w:pStyle w:val="ListParagraph"/>
        <w:numPr>
          <w:ilvl w:val="1"/>
          <w:numId w:val="4"/>
        </w:numPr>
        <w:spacing w:after="160" w:line="259" w:lineRule="auto"/>
        <w:jc w:val="both"/>
      </w:pPr>
      <w:r w:rsidRPr="003F694D">
        <w:t>Výmena slovenských bankoviek;</w:t>
      </w:r>
    </w:p>
    <w:p w14:paraId="505DFCB6" w14:textId="22C735F7" w:rsidR="002D048C" w:rsidRDefault="002D048C" w:rsidP="002D048C">
      <w:pPr>
        <w:pStyle w:val="ListParagraph"/>
        <w:numPr>
          <w:ilvl w:val="1"/>
          <w:numId w:val="4"/>
        </w:numPr>
        <w:spacing w:after="160" w:line="259" w:lineRule="auto"/>
        <w:jc w:val="both"/>
      </w:pPr>
      <w:r w:rsidRPr="003F694D">
        <w:t>Poskytovanie služieb súvisiacich s registráciou subjektov finančného trhu;</w:t>
      </w:r>
    </w:p>
    <w:p w14:paraId="4F6DF9DB" w14:textId="257A6119" w:rsidR="002D048C" w:rsidRPr="003F694D" w:rsidRDefault="002D048C" w:rsidP="002D048C">
      <w:pPr>
        <w:pStyle w:val="ListParagraph"/>
        <w:numPr>
          <w:ilvl w:val="1"/>
          <w:numId w:val="4"/>
        </w:numPr>
        <w:spacing w:after="160" w:line="259" w:lineRule="auto"/>
        <w:jc w:val="both"/>
      </w:pPr>
      <w:r w:rsidRPr="003F694D">
        <w:t>Poskytovanie informácií, vzdelávanie a ďalšie.</w:t>
      </w:r>
    </w:p>
    <w:p w14:paraId="29AEE564" w14:textId="77777777" w:rsidR="002D048C" w:rsidRDefault="002D048C" w:rsidP="002D048C">
      <w:pPr>
        <w:spacing w:after="60"/>
        <w:ind w:left="360"/>
      </w:pPr>
    </w:p>
    <w:p w14:paraId="499636F5" w14:textId="77777777" w:rsidR="002D048C" w:rsidRDefault="002D048C" w:rsidP="002D048C">
      <w:pPr>
        <w:spacing w:after="60"/>
        <w:ind w:left="360"/>
      </w:pPr>
    </w:p>
    <w:p w14:paraId="433CD1D3" w14:textId="6CC0A498" w:rsidR="009D440D" w:rsidRPr="00C5538A" w:rsidRDefault="00750833" w:rsidP="002D048C">
      <w:pPr>
        <w:spacing w:after="60"/>
        <w:ind w:left="360"/>
        <w:rPr>
          <w:b/>
          <w:bCs/>
        </w:rPr>
      </w:pPr>
      <w:r w:rsidRPr="00C5538A">
        <w:rPr>
          <w:b/>
          <w:bCs/>
        </w:rPr>
        <w:t>Architektúra IS</w:t>
      </w:r>
    </w:p>
    <w:p w14:paraId="35774864" w14:textId="641A5C87" w:rsidR="00750833" w:rsidRDefault="00750833" w:rsidP="002D048C">
      <w:pPr>
        <w:spacing w:after="60"/>
        <w:ind w:left="360"/>
      </w:pPr>
      <w:r w:rsidRPr="003F694D">
        <w:t xml:space="preserve">Nasledujúci </w:t>
      </w:r>
      <w:r w:rsidR="00F45185">
        <w:t>o</w:t>
      </w:r>
      <w:r w:rsidRPr="003F694D">
        <w:t>brázok znázorňuje súčasný stav aplikačnej vrstvy.</w:t>
      </w:r>
    </w:p>
    <w:p w14:paraId="22814FF2" w14:textId="6D3D26FE" w:rsidR="00F45185" w:rsidRDefault="00F45185" w:rsidP="002D048C">
      <w:pPr>
        <w:spacing w:after="60"/>
        <w:ind w:left="360"/>
      </w:pPr>
      <w:r w:rsidRPr="003F694D">
        <w:rPr>
          <w:noProof/>
        </w:rPr>
        <w:drawing>
          <wp:inline distT="0" distB="0" distL="0" distR="0" wp14:anchorId="5E0DC7EC" wp14:editId="51BB8711">
            <wp:extent cx="5713214" cy="6000750"/>
            <wp:effectExtent l="0" t="0" r="0" b="0"/>
            <wp:docPr id="280005096" name="Picture 280005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214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1D8D" w14:textId="721A6A94" w:rsidR="009D440D" w:rsidRDefault="00F45185" w:rsidP="007E1E6E">
      <w:pPr>
        <w:spacing w:after="60"/>
        <w:ind w:left="360"/>
      </w:pPr>
      <w:bookmarkStart w:id="4" w:name="_Toc118897371"/>
      <w:bookmarkStart w:id="5" w:name="_Toc120259016"/>
      <w:r w:rsidRPr="003F694D">
        <w:rPr>
          <w:i/>
          <w:iCs/>
          <w:color w:val="44546A" w:themeColor="text2"/>
          <w:sz w:val="18"/>
          <w:szCs w:val="18"/>
        </w:rPr>
        <w:t xml:space="preserve">Obrázok </w:t>
      </w:r>
      <w:r>
        <w:rPr>
          <w:i/>
          <w:iCs/>
          <w:color w:val="44546A" w:themeColor="text2"/>
          <w:sz w:val="18"/>
          <w:szCs w:val="18"/>
        </w:rPr>
        <w:t>č. 2</w:t>
      </w:r>
      <w:r w:rsidRPr="003F694D">
        <w:rPr>
          <w:i/>
          <w:iCs/>
          <w:color w:val="44546A" w:themeColor="text2"/>
          <w:sz w:val="18"/>
          <w:szCs w:val="18"/>
        </w:rPr>
        <w:t xml:space="preserve"> Aplikačná architektúra</w:t>
      </w:r>
      <w:bookmarkEnd w:id="4"/>
      <w:bookmarkEnd w:id="5"/>
    </w:p>
    <w:sectPr w:rsidR="009D440D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42EE" w14:textId="77777777" w:rsidR="00050F1B" w:rsidRDefault="00050F1B" w:rsidP="0009480D">
      <w:pPr>
        <w:spacing w:after="0" w:line="240" w:lineRule="auto"/>
      </w:pPr>
      <w:r>
        <w:separator/>
      </w:r>
    </w:p>
  </w:endnote>
  <w:endnote w:type="continuationSeparator" w:id="0">
    <w:p w14:paraId="352D91D1" w14:textId="77777777" w:rsidR="00050F1B" w:rsidRDefault="00050F1B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0476" w14:textId="77777777" w:rsidR="00050F1B" w:rsidRDefault="00050F1B" w:rsidP="0009480D">
      <w:pPr>
        <w:spacing w:after="0" w:line="240" w:lineRule="auto"/>
      </w:pPr>
      <w:r>
        <w:separator/>
      </w:r>
    </w:p>
  </w:footnote>
  <w:footnote w:type="continuationSeparator" w:id="0">
    <w:p w14:paraId="232B9D8F" w14:textId="77777777" w:rsidR="00050F1B" w:rsidRDefault="00050F1B" w:rsidP="000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56A1" w14:textId="77777777" w:rsidR="005868E1" w:rsidRPr="005868E1" w:rsidRDefault="005868E1">
    <w:pPr>
      <w:pStyle w:val="Header"/>
      <w:rPr>
        <w:rFonts w:ascii="Cambria" w:hAnsi="Cambria"/>
        <w:i/>
        <w:iCs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 w:rsidRPr="005868E1">
      <w:rPr>
        <w:rFonts w:ascii="Cambria" w:hAnsi="Cambria"/>
        <w:i/>
        <w:iCs/>
        <w:sz w:val="20"/>
        <w:szCs w:val="20"/>
      </w:rPr>
      <w:t xml:space="preserve">Príloha č. </w:t>
    </w:r>
    <w:r w:rsidR="00625786">
      <w:rPr>
        <w:rFonts w:ascii="Cambria" w:hAnsi="Cambria"/>
        <w:i/>
        <w:i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154"/>
    <w:multiLevelType w:val="hybridMultilevel"/>
    <w:tmpl w:val="8B886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36DDB"/>
    <w:multiLevelType w:val="hybridMultilevel"/>
    <w:tmpl w:val="6234DA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63EE"/>
    <w:multiLevelType w:val="hybridMultilevel"/>
    <w:tmpl w:val="421EE73E"/>
    <w:styleLink w:val="IQUAP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A0364"/>
    <w:multiLevelType w:val="hybridMultilevel"/>
    <w:tmpl w:val="6DE451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859830">
    <w:abstractNumId w:val="3"/>
  </w:num>
  <w:num w:numId="2" w16cid:durableId="1105077519">
    <w:abstractNumId w:val="0"/>
  </w:num>
  <w:num w:numId="3" w16cid:durableId="1253661558">
    <w:abstractNumId w:val="2"/>
  </w:num>
  <w:num w:numId="4" w16cid:durableId="114182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E1"/>
    <w:rsid w:val="00050F1B"/>
    <w:rsid w:val="00081F2D"/>
    <w:rsid w:val="0009480D"/>
    <w:rsid w:val="00112099"/>
    <w:rsid w:val="00130860"/>
    <w:rsid w:val="00163F35"/>
    <w:rsid w:val="001663B6"/>
    <w:rsid w:val="0019280F"/>
    <w:rsid w:val="001A694C"/>
    <w:rsid w:val="001B1C76"/>
    <w:rsid w:val="001D01FE"/>
    <w:rsid w:val="001D5030"/>
    <w:rsid w:val="001D5F9F"/>
    <w:rsid w:val="001E596E"/>
    <w:rsid w:val="00225679"/>
    <w:rsid w:val="002B4CD0"/>
    <w:rsid w:val="002D048C"/>
    <w:rsid w:val="002D4272"/>
    <w:rsid w:val="003618BA"/>
    <w:rsid w:val="003636B5"/>
    <w:rsid w:val="00392F01"/>
    <w:rsid w:val="004100B0"/>
    <w:rsid w:val="00410AD2"/>
    <w:rsid w:val="00445B18"/>
    <w:rsid w:val="00470686"/>
    <w:rsid w:val="004D7E2D"/>
    <w:rsid w:val="005316F2"/>
    <w:rsid w:val="00564381"/>
    <w:rsid w:val="005868E1"/>
    <w:rsid w:val="005939CC"/>
    <w:rsid w:val="005A1CD3"/>
    <w:rsid w:val="005B341B"/>
    <w:rsid w:val="00625786"/>
    <w:rsid w:val="006470E3"/>
    <w:rsid w:val="0065784F"/>
    <w:rsid w:val="00661C42"/>
    <w:rsid w:val="006C7835"/>
    <w:rsid w:val="006D0B11"/>
    <w:rsid w:val="007210BC"/>
    <w:rsid w:val="00750833"/>
    <w:rsid w:val="00782367"/>
    <w:rsid w:val="00787300"/>
    <w:rsid w:val="007A3439"/>
    <w:rsid w:val="007C1C90"/>
    <w:rsid w:val="007E1E6E"/>
    <w:rsid w:val="00922AAB"/>
    <w:rsid w:val="00955E74"/>
    <w:rsid w:val="009841D6"/>
    <w:rsid w:val="009A6FA0"/>
    <w:rsid w:val="009D440D"/>
    <w:rsid w:val="00A719D6"/>
    <w:rsid w:val="00AA74E5"/>
    <w:rsid w:val="00AC58FE"/>
    <w:rsid w:val="00B05B90"/>
    <w:rsid w:val="00B31C02"/>
    <w:rsid w:val="00B42F36"/>
    <w:rsid w:val="00B445E0"/>
    <w:rsid w:val="00B46821"/>
    <w:rsid w:val="00B646A5"/>
    <w:rsid w:val="00BA4BE5"/>
    <w:rsid w:val="00BC1DC2"/>
    <w:rsid w:val="00BD2A58"/>
    <w:rsid w:val="00BD752C"/>
    <w:rsid w:val="00C3276F"/>
    <w:rsid w:val="00C35E8A"/>
    <w:rsid w:val="00C470D6"/>
    <w:rsid w:val="00C535AE"/>
    <w:rsid w:val="00C5538A"/>
    <w:rsid w:val="00CB7C08"/>
    <w:rsid w:val="00CF3876"/>
    <w:rsid w:val="00D93738"/>
    <w:rsid w:val="00E06D18"/>
    <w:rsid w:val="00E22EC3"/>
    <w:rsid w:val="00E8085C"/>
    <w:rsid w:val="00F45185"/>
    <w:rsid w:val="00FD080A"/>
    <w:rsid w:val="00FE29B3"/>
    <w:rsid w:val="00FE7CF9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1D3BB6"/>
  <w15:chartTrackingRefBased/>
  <w15:docId w15:val="{AC3C3127-ACDC-4F8C-8050-95CC1F52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E1"/>
    <w:pPr>
      <w:spacing w:after="20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aliases w:val="bullet,body,Odsek zoznamu2,Bullet Number,lp1,lp11,List Paragraph11,Use Case List Paragraph,ODRAZKY PRVA UROVEN,Odsek zoznamu1,List Paragraph1,Bulleted Text,Bullet List,List Paragraph2,Bullet edison,List Paragraph3,List Paragraph4,b1"/>
    <w:basedOn w:val="Normal"/>
    <w:link w:val="ListParagraphChar"/>
    <w:uiPriority w:val="34"/>
    <w:qFormat/>
    <w:rsid w:val="00586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5A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5AE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AC58FE"/>
    <w:pPr>
      <w:spacing w:after="0" w:line="240" w:lineRule="auto"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39"/>
    <w:rsid w:val="00FE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Char,body Char,Odsek zoznamu2 Char,Bullet Number Char,lp1 Char,lp11 Char,List Paragraph11 Char,Use Case List Paragraph Char,ODRAZKY PRVA UROVEN Char,Odsek zoznamu1 Char,List Paragraph1 Char,Bulleted Text Char,Bullet List Char"/>
    <w:link w:val="ListParagraph"/>
    <w:uiPriority w:val="34"/>
    <w:qFormat/>
    <w:locked/>
    <w:rsid w:val="002D048C"/>
    <w:rPr>
      <w:rFonts w:asciiTheme="minorHAnsi" w:hAnsiTheme="minorHAnsi"/>
      <w:sz w:val="22"/>
      <w:szCs w:val="22"/>
    </w:rPr>
  </w:style>
  <w:style w:type="numbering" w:customStyle="1" w:styleId="IQUAP2">
    <w:name w:val="IQUAP2"/>
    <w:basedOn w:val="NoList"/>
    <w:rsid w:val="002D048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2.emf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7C3C-C04D-4A29-9F47-AC742D9F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Milan</dc:creator>
  <cp:keywords/>
  <dc:description/>
  <cp:lastModifiedBy>Zubeková Anna</cp:lastModifiedBy>
  <cp:revision>3</cp:revision>
  <dcterms:created xsi:type="dcterms:W3CDTF">2023-10-02T08:28:00Z</dcterms:created>
  <dcterms:modified xsi:type="dcterms:W3CDTF">2023-10-02T13:24:00Z</dcterms:modified>
</cp:coreProperties>
</file>