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14C1B94"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w:t>
      </w:r>
      <w:r w:rsidR="00E46D13">
        <w:rPr>
          <w:rFonts w:ascii="Times New Roman" w:hAnsi="Times New Roman" w:cs="Times New Roman"/>
          <w:b/>
          <w:bCs/>
        </w:rPr>
        <w:t>3</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727ABA85"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4D4F0ED2"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35996561</w:t>
      </w:r>
      <w:r w:rsidRPr="003E5869">
        <w:rPr>
          <w:rFonts w:ascii="Times New Roman" w:hAnsi="Times New Roman" w:cs="Times New Roman"/>
        </w:rPr>
        <w:tab/>
      </w:r>
      <w:r w:rsidRPr="003E5869">
        <w:rPr>
          <w:rFonts w:ascii="Times New Roman" w:hAnsi="Times New Roman" w:cs="Times New Roman"/>
        </w:rPr>
        <w:tab/>
      </w:r>
    </w:p>
    <w:p w14:paraId="26FEA826" w14:textId="0FCB0091"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5EC4C72D"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IBAN: SK</w:t>
      </w:r>
      <w:r w:rsidR="001F3566">
        <w:rPr>
          <w:rFonts w:ascii="Times New Roman" w:eastAsia="Calibri" w:hAnsi="Times New Roman" w:cs="Times New Roman"/>
        </w:rPr>
        <w:t>77</w:t>
      </w:r>
      <w:r w:rsidRPr="003E5869">
        <w:rPr>
          <w:rFonts w:ascii="Times New Roman" w:eastAsia="Calibri" w:hAnsi="Times New Roman" w:cs="Times New Roman"/>
        </w:rPr>
        <w:t xml:space="preserve"> 8180 0000 </w:t>
      </w:r>
      <w:r w:rsidRPr="001F3566">
        <w:rPr>
          <w:rFonts w:ascii="Times New Roman" w:eastAsia="Calibri" w:hAnsi="Times New Roman" w:cs="Times New Roman"/>
        </w:rPr>
        <w:t>0070 0039 62</w:t>
      </w:r>
      <w:r w:rsidR="001F3566" w:rsidRPr="001F3566">
        <w:rPr>
          <w:rFonts w:ascii="Times New Roman" w:eastAsia="Calibri" w:hAnsi="Times New Roman" w:cs="Times New Roman"/>
        </w:rPr>
        <w:t>54</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4A288A27" w14:textId="3CE987B3" w:rsidR="00C44021" w:rsidRPr="00C44021" w:rsidRDefault="00251708" w:rsidP="00C44021">
      <w:pPr>
        <w:pStyle w:val="Odsekzoznamu"/>
        <w:widowControl/>
        <w:numPr>
          <w:ilvl w:val="0"/>
          <w:numId w:val="17"/>
        </w:numPr>
        <w:tabs>
          <w:tab w:val="clear" w:pos="720"/>
          <w:tab w:val="num" w:pos="426"/>
        </w:tabs>
        <w:spacing w:after="0" w:line="240" w:lineRule="auto"/>
        <w:ind w:left="426" w:hanging="426"/>
        <w:jc w:val="both"/>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w:t>
      </w:r>
      <w:bookmarkStart w:id="1" w:name="_Hlk138350492"/>
      <w:r w:rsidR="00E46D13" w:rsidRPr="000375F5">
        <w:rPr>
          <w:rFonts w:ascii="Times New Roman" w:hAnsi="Times New Roman" w:cs="Times New Roman"/>
          <w:b/>
          <w:bCs/>
        </w:rPr>
        <w:t xml:space="preserve">Obnova Krajskej knižnice Ľ. Štúra 2, nákup </w:t>
      </w:r>
      <w:r w:rsidR="000B171A" w:rsidRPr="000375F5">
        <w:rPr>
          <w:rFonts w:ascii="Times New Roman" w:hAnsi="Times New Roman" w:cs="Times New Roman"/>
          <w:b/>
          <w:bCs/>
        </w:rPr>
        <w:t xml:space="preserve">interiérového </w:t>
      </w:r>
      <w:r w:rsidR="00E46D13" w:rsidRPr="000375F5">
        <w:rPr>
          <w:rFonts w:ascii="Times New Roman" w:hAnsi="Times New Roman" w:cs="Times New Roman"/>
          <w:b/>
          <w:bCs/>
        </w:rPr>
        <w:t>vybavenia</w:t>
      </w:r>
      <w:bookmarkEnd w:id="1"/>
      <w:r w:rsidRPr="0083496E">
        <w:rPr>
          <w:rFonts w:ascii="Times New Roman" w:hAnsi="Times New Roman" w:cs="Times New Roman"/>
          <w:b/>
          <w:bCs/>
        </w:rPr>
        <w:t xml:space="preserve"> – Výzva č. </w:t>
      </w:r>
      <w:bookmarkEnd w:id="0"/>
      <w:r w:rsidR="0083496E" w:rsidRPr="0083496E">
        <w:rPr>
          <w:rFonts w:ascii="Times New Roman" w:hAnsi="Times New Roman" w:cs="Times New Roman"/>
          <w:b/>
          <w:bCs/>
        </w:rPr>
        <w:t>36</w:t>
      </w:r>
      <w:r w:rsidR="0083496E" w:rsidRPr="00C030D1">
        <w:rPr>
          <w:rFonts w:ascii="Times New Roman" w:hAnsi="Times New Roman" w:cs="Times New Roman"/>
          <w:b/>
        </w:rPr>
        <w:t>“</w:t>
      </w:r>
      <w:r w:rsidR="0083496E" w:rsidRPr="00C030D1">
        <w:rPr>
          <w:rFonts w:ascii="Times New Roman" w:hAnsi="Times New Roman" w:cs="Times New Roman"/>
        </w:rPr>
        <w:t xml:space="preserve"> </w:t>
      </w:r>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xml:space="preserve">. § 58 – 61 zákona o verejnom obstarávaní, vyhláseného v Úradnom vestníku EÚ č. S67 dňa 03.04.2020 pod značkou oznámenia 2020/S 067-158990 a vo Vestníku verejného obstarávania č. 75/2020 dňa 06.04.2020 pod značkou oznámenia 12761-MUT. Dňa </w:t>
      </w:r>
      <w:r w:rsidRPr="000375F5">
        <w:rPr>
          <w:rFonts w:ascii="Times New Roman" w:hAnsi="Times New Roman" w:cs="Times New Roman"/>
        </w:rPr>
        <w:t>........................ b</w:t>
      </w:r>
      <w:r w:rsidRPr="00C030D1">
        <w:rPr>
          <w:rFonts w:ascii="Times New Roman" w:hAnsi="Times New Roman" w:cs="Times New Roman"/>
        </w:rPr>
        <w:t>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2859353D"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w:t>
      </w:r>
      <w:r w:rsidRPr="000375F5">
        <w:rPr>
          <w:rFonts w:ascii="Times New Roman" w:hAnsi="Times New Roman" w:cs="Times New Roman"/>
          <w:b/>
        </w:rPr>
        <w:t>prílohe č. 1 tejto</w:t>
      </w:r>
      <w:r w:rsidRPr="003E5869">
        <w:rPr>
          <w:rFonts w:ascii="Times New Roman" w:hAnsi="Times New Roman" w:cs="Times New Roman"/>
          <w:b/>
        </w:rPr>
        <w:t xml:space="preserve">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73B531B8" w14:textId="77777777" w:rsidR="00FE6078" w:rsidRDefault="00FE6078" w:rsidP="00FE6078">
      <w:pPr>
        <w:spacing w:after="0" w:line="240" w:lineRule="auto"/>
        <w:jc w:val="both"/>
        <w:rPr>
          <w:rFonts w:ascii="Times New Roman" w:hAnsi="Times New Roman" w:cs="Times New Roman"/>
          <w:b/>
        </w:rPr>
      </w:pPr>
    </w:p>
    <w:p w14:paraId="49B5E8F6" w14:textId="07D5D7D5" w:rsidR="00E46D13" w:rsidRPr="003B48DF" w:rsidRDefault="00E46D13" w:rsidP="000375F5">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B48DF">
        <w:rPr>
          <w:rFonts w:ascii="Times New Roman" w:hAnsi="Times New Roman" w:cs="Times New Roman"/>
        </w:rPr>
        <w:t xml:space="preserve">Zmluvné strany sa dohodli, že predávajúci dodá predmet kúpy kupujúcemu v rámci projektu </w:t>
      </w:r>
      <w:r w:rsidRPr="003B48DF">
        <w:rPr>
          <w:rFonts w:ascii="Times New Roman" w:hAnsi="Times New Roman" w:cs="Times New Roman"/>
          <w:b/>
        </w:rPr>
        <w:t>„Obnova Krajskej knižnice Ľ. Štúra 2“</w:t>
      </w:r>
      <w:r w:rsidRPr="003B48DF">
        <w:rPr>
          <w:rFonts w:ascii="Times New Roman" w:hAnsi="Times New Roman" w:cs="Times New Roman"/>
        </w:rPr>
        <w:t xml:space="preserve"> (ďalej len „</w:t>
      </w:r>
      <w:r w:rsidRPr="003B48DF">
        <w:rPr>
          <w:rFonts w:ascii="Times New Roman" w:hAnsi="Times New Roman" w:cs="Times New Roman"/>
          <w:b/>
        </w:rPr>
        <w:t>projekt</w:t>
      </w:r>
      <w:r w:rsidRPr="003B48DF">
        <w:rPr>
          <w:rFonts w:ascii="Times New Roman" w:hAnsi="Times New Roman" w:cs="Times New Roman"/>
        </w:rPr>
        <w:t>“)</w:t>
      </w:r>
      <w:r w:rsidR="003B48DF" w:rsidRPr="003B48DF">
        <w:rPr>
          <w:rFonts w:ascii="Times New Roman" w:hAnsi="Times New Roman" w:cs="Times New Roman"/>
        </w:rPr>
        <w:t>.</w:t>
      </w:r>
    </w:p>
    <w:p w14:paraId="1927D400" w14:textId="77777777" w:rsidR="00E46D13" w:rsidRDefault="00E46D13" w:rsidP="00FE6078">
      <w:pPr>
        <w:spacing w:after="0" w:line="240" w:lineRule="auto"/>
        <w:jc w:val="both"/>
        <w:rPr>
          <w:rFonts w:ascii="Times New Roman" w:hAnsi="Times New Roman" w:cs="Times New Roman"/>
          <w:b/>
        </w:rPr>
      </w:pPr>
    </w:p>
    <w:p w14:paraId="253FD32F" w14:textId="77777777" w:rsidR="00E46D13" w:rsidRPr="003E5869" w:rsidRDefault="00E46D13"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374746E4"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w:t>
      </w:r>
      <w:r w:rsidRPr="00BC464A">
        <w:rPr>
          <w:rFonts w:ascii="Times New Roman" w:hAnsi="Times New Roman" w:cs="Times New Roman"/>
        </w:rPr>
        <w:t>do </w:t>
      </w:r>
      <w:r w:rsidR="00707451" w:rsidRPr="00BC464A">
        <w:rPr>
          <w:rFonts w:ascii="Times New Roman" w:hAnsi="Times New Roman" w:cs="Times New Roman"/>
        </w:rPr>
        <w:t>6</w:t>
      </w:r>
      <w:r w:rsidRPr="00BC464A">
        <w:rPr>
          <w:rFonts w:ascii="Times New Roman" w:hAnsi="Times New Roman" w:cs="Times New Roman"/>
        </w:rPr>
        <w:t> týždňov</w:t>
      </w:r>
      <w:r w:rsidRPr="003E5869">
        <w:rPr>
          <w:rFonts w:ascii="Times New Roman" w:hAnsi="Times New Roman" w:cs="Times New Roman"/>
        </w:rPr>
        <w:t xml:space="preserve">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5F50D24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w:t>
      </w:r>
      <w:r w:rsidR="00E46D13">
        <w:rPr>
          <w:rFonts w:ascii="Times New Roman" w:hAnsi="Times New Roman" w:cs="Times New Roman"/>
        </w:rPr>
        <w:t xml:space="preserve">Ing. Jarmila </w:t>
      </w:r>
      <w:proofErr w:type="spellStart"/>
      <w:r w:rsidR="00E46D13">
        <w:rPr>
          <w:rFonts w:ascii="Times New Roman" w:hAnsi="Times New Roman" w:cs="Times New Roman"/>
        </w:rPr>
        <w:t>Plavuchová</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Default="00FE6078" w:rsidP="00FE6078">
      <w:pPr>
        <w:pStyle w:val="Odsekzoznamu"/>
        <w:spacing w:after="0" w:line="240" w:lineRule="auto"/>
        <w:ind w:left="567"/>
        <w:jc w:val="both"/>
        <w:rPr>
          <w:rFonts w:ascii="Times New Roman" w:hAnsi="Times New Roman" w:cs="Times New Roman"/>
        </w:rPr>
      </w:pPr>
    </w:p>
    <w:p w14:paraId="4D8EA9FC" w14:textId="77777777" w:rsidR="00E46D13" w:rsidRDefault="00E46D13" w:rsidP="00FE6078">
      <w:pPr>
        <w:pStyle w:val="Odsekzoznamu"/>
        <w:spacing w:after="0" w:line="240" w:lineRule="auto"/>
        <w:ind w:left="567"/>
        <w:jc w:val="both"/>
        <w:rPr>
          <w:rFonts w:ascii="Times New Roman" w:hAnsi="Times New Roman" w:cs="Times New Roman"/>
        </w:rPr>
      </w:pPr>
    </w:p>
    <w:p w14:paraId="4DA8AC3E" w14:textId="77777777" w:rsidR="00E46D13" w:rsidRPr="003E5869" w:rsidRDefault="00E46D13"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2B9287F1"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w:t>
      </w:r>
      <w:r w:rsidRPr="00707451">
        <w:rPr>
          <w:rFonts w:ascii="Times New Roman" w:hAnsi="Times New Roman" w:cs="Times New Roman"/>
          <w:lang w:eastAsia="sk-SK"/>
        </w:rPr>
        <w:t xml:space="preserve">bude </w:t>
      </w:r>
      <w:r w:rsidR="00F068C2" w:rsidRPr="00707451">
        <w:rPr>
          <w:rFonts w:ascii="Times New Roman" w:hAnsi="Times New Roman" w:cs="Times New Roman"/>
          <w:lang w:eastAsia="sk-SK"/>
        </w:rPr>
        <w:t>.....................</w:t>
      </w:r>
      <w:r w:rsidRPr="00707451">
        <w:rPr>
          <w:rFonts w:ascii="Times New Roman" w:hAnsi="Times New Roman" w:cs="Times New Roman"/>
          <w:lang w:eastAsia="sk-SK"/>
        </w:rPr>
        <w:t xml:space="preserve"> EUR (slovom </w:t>
      </w:r>
      <w:r w:rsidR="00F068C2" w:rsidRPr="00707451">
        <w:rPr>
          <w:rFonts w:ascii="Times New Roman" w:hAnsi="Times New Roman" w:cs="Times New Roman"/>
          <w:lang w:eastAsia="sk-SK"/>
        </w:rPr>
        <w:t>.............................</w:t>
      </w:r>
      <w:r w:rsidRPr="00707451">
        <w:rPr>
          <w:rFonts w:ascii="Times New Roman" w:hAnsi="Times New Roman" w:cs="Times New Roman"/>
          <w:lang w:eastAsia="sk-SK"/>
        </w:rPr>
        <w:t xml:space="preserve"> </w:t>
      </w:r>
      <w:r w:rsidRPr="003E5869">
        <w:rPr>
          <w:rFonts w:ascii="Times New Roman" w:hAnsi="Times New Roman" w:cs="Times New Roman"/>
          <w:lang w:eastAsia="sk-SK"/>
        </w:rPr>
        <w:t xml:space="preserve">EUR </w:t>
      </w:r>
      <w:r w:rsidR="00F068C2" w:rsidRPr="00F52EE2">
        <w:rPr>
          <w:rFonts w:ascii="Times New Roman" w:hAnsi="Times New Roman" w:cs="Times New Roman"/>
          <w:color w:val="00B050"/>
          <w:lang w:eastAsia="sk-SK"/>
        </w:rPr>
        <w:t>.....</w:t>
      </w:r>
      <w:r w:rsidRPr="003E5869">
        <w:rPr>
          <w:rFonts w:ascii="Times New Roman" w:hAnsi="Times New Roman" w:cs="Times New Roman"/>
          <w:lang w:eastAsia="sk-SK"/>
        </w:rPr>
        <w:t>/centov)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72A732B2" w14:textId="15D7F020" w:rsidR="007B5BB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A11187" w:rsidRPr="007B5BB9">
        <w:rPr>
          <w:rFonts w:ascii="Times New Roman" w:hAnsi="Times New Roman" w:cs="Times New Roman"/>
          <w:color w:val="000000"/>
        </w:rPr>
        <w:t>3</w:t>
      </w:r>
      <w:r w:rsidRPr="007B5BB9">
        <w:rPr>
          <w:rFonts w:ascii="Times New Roman" w:hAnsi="Times New Roman" w:cs="Times New Roman"/>
          <w:color w:val="000000"/>
        </w:rPr>
        <w:t>0</w:t>
      </w:r>
      <w:r w:rsidRPr="003E5869">
        <w:rPr>
          <w:rFonts w:ascii="Times New Roman" w:hAnsi="Times New Roman" w:cs="Times New Roman"/>
          <w:color w:val="000000"/>
        </w:rPr>
        <w:t xml:space="preserve"> kalendárnych dní odo dňa jej doručenia kupujúcemu. Faktúra musí obsahovať náležitosti v zmysle § 71 zákona č. 222/2004 Z. z. o dani z pridanej hodnoty v znení neskorších predpisov. </w:t>
      </w:r>
      <w:r w:rsidR="00A11187">
        <w:rPr>
          <w:rFonts w:ascii="Times New Roman" w:hAnsi="Times New Roman" w:cs="Times New Roman"/>
          <w:color w:val="000000"/>
        </w:rPr>
        <w:t xml:space="preserve">Faktúra musí obsahovať aj účel, na ktorý budú použité finančné prostriedky získané od zriaďovateľa objednávateľa a to v znení: </w:t>
      </w:r>
    </w:p>
    <w:p w14:paraId="0EBDEEE9" w14:textId="77777777" w:rsidR="00E46D13" w:rsidRDefault="00E46D13" w:rsidP="00E46D13">
      <w:pPr>
        <w:pStyle w:val="Odsekzoznamu"/>
        <w:widowControl/>
        <w:spacing w:after="0" w:line="240" w:lineRule="auto"/>
        <w:ind w:left="426"/>
        <w:jc w:val="both"/>
        <w:rPr>
          <w:rFonts w:ascii="Times New Roman" w:hAnsi="Times New Roman" w:cs="Times New Roman"/>
          <w:color w:val="000000"/>
        </w:rPr>
      </w:pPr>
    </w:p>
    <w:p w14:paraId="6B937054" w14:textId="5BE421CE" w:rsidR="00E46D13" w:rsidRDefault="00E46D13" w:rsidP="00E46D13">
      <w:pPr>
        <w:pStyle w:val="Odsekzoznamu"/>
        <w:widowControl/>
        <w:spacing w:after="0" w:line="240" w:lineRule="auto"/>
        <w:ind w:left="426"/>
        <w:jc w:val="both"/>
        <w:rPr>
          <w:rFonts w:ascii="Times New Roman" w:hAnsi="Times New Roman" w:cs="Times New Roman"/>
          <w:color w:val="000000"/>
        </w:rPr>
      </w:pPr>
      <w:r w:rsidRPr="003E5869">
        <w:rPr>
          <w:rFonts w:ascii="Times New Roman" w:hAnsi="Times New Roman" w:cs="Times New Roman"/>
          <w:b/>
        </w:rPr>
        <w:t xml:space="preserve">„Obnova </w:t>
      </w:r>
      <w:r>
        <w:rPr>
          <w:rFonts w:ascii="Times New Roman" w:hAnsi="Times New Roman" w:cs="Times New Roman"/>
          <w:b/>
        </w:rPr>
        <w:t>K</w:t>
      </w:r>
      <w:r w:rsidRPr="003E5869">
        <w:rPr>
          <w:rFonts w:ascii="Times New Roman" w:hAnsi="Times New Roman" w:cs="Times New Roman"/>
          <w:b/>
        </w:rPr>
        <w:t>rajskej knižnice Ľ. Štúra</w:t>
      </w:r>
      <w:r>
        <w:rPr>
          <w:rFonts w:ascii="Times New Roman" w:hAnsi="Times New Roman" w:cs="Times New Roman"/>
          <w:b/>
        </w:rPr>
        <w:t xml:space="preserve"> 2</w:t>
      </w:r>
      <w:r w:rsidR="001F3566">
        <w:rPr>
          <w:rFonts w:ascii="Times New Roman" w:hAnsi="Times New Roman" w:cs="Times New Roman"/>
          <w:b/>
        </w:rPr>
        <w:t xml:space="preserve">, nákup </w:t>
      </w:r>
      <w:r w:rsidR="000B171A">
        <w:rPr>
          <w:rFonts w:ascii="Times New Roman" w:hAnsi="Times New Roman" w:cs="Times New Roman"/>
          <w:b/>
        </w:rPr>
        <w:t xml:space="preserve">interiérového </w:t>
      </w:r>
      <w:r w:rsidR="001F3566">
        <w:rPr>
          <w:rFonts w:ascii="Times New Roman" w:hAnsi="Times New Roman" w:cs="Times New Roman"/>
          <w:b/>
        </w:rPr>
        <w:t>vybavenia</w:t>
      </w:r>
      <w:r w:rsidRPr="003E5869">
        <w:rPr>
          <w:rFonts w:ascii="Times New Roman" w:hAnsi="Times New Roman" w:cs="Times New Roman"/>
          <w:b/>
        </w:rPr>
        <w:t>“</w:t>
      </w:r>
      <w:r>
        <w:rPr>
          <w:rFonts w:ascii="Times New Roman" w:hAnsi="Times New Roman" w:cs="Times New Roman"/>
          <w:b/>
        </w:rPr>
        <w:t xml:space="preserve"> </w:t>
      </w:r>
      <w:r w:rsidRPr="00E46D13">
        <w:rPr>
          <w:rFonts w:ascii="Times New Roman" w:hAnsi="Times New Roman" w:cs="Times New Roman"/>
          <w:b/>
          <w:bCs/>
        </w:rPr>
        <w:t xml:space="preserve">(povinné spolufinancovanie projektu v súvislosti </w:t>
      </w:r>
      <w:r>
        <w:rPr>
          <w:rFonts w:ascii="Times New Roman" w:hAnsi="Times New Roman" w:cs="Times New Roman"/>
          <w:b/>
          <w:bCs/>
        </w:rPr>
        <w:t xml:space="preserve">s </w:t>
      </w:r>
      <w:r w:rsidRPr="00E46D13">
        <w:rPr>
          <w:rFonts w:ascii="Times New Roman" w:hAnsi="Times New Roman" w:cs="Times New Roman"/>
          <w:b/>
          <w:bCs/>
        </w:rPr>
        <w:t xml:space="preserve">nákupom </w:t>
      </w:r>
      <w:r w:rsidR="001F3566">
        <w:rPr>
          <w:rFonts w:ascii="Times New Roman" w:hAnsi="Times New Roman" w:cs="Times New Roman"/>
          <w:b/>
          <w:bCs/>
        </w:rPr>
        <w:t xml:space="preserve">interiérového </w:t>
      </w:r>
      <w:r w:rsidRPr="00E46D13">
        <w:rPr>
          <w:rFonts w:ascii="Times New Roman" w:hAnsi="Times New Roman" w:cs="Times New Roman"/>
          <w:b/>
          <w:bCs/>
        </w:rPr>
        <w:t>vybavenia do revitalizovaných priestorov knižnice)</w:t>
      </w:r>
    </w:p>
    <w:p w14:paraId="1823CA27" w14:textId="77777777" w:rsidR="007B5BB9" w:rsidRDefault="007B5BB9" w:rsidP="007B5BB9">
      <w:pPr>
        <w:pStyle w:val="Odsekzoznamu"/>
        <w:widowControl/>
        <w:spacing w:after="0" w:line="240" w:lineRule="auto"/>
        <w:ind w:left="426"/>
        <w:jc w:val="both"/>
        <w:rPr>
          <w:rFonts w:ascii="Times New Roman" w:hAnsi="Times New Roman" w:cs="Times New Roman"/>
          <w:color w:val="000000"/>
        </w:rPr>
      </w:pPr>
    </w:p>
    <w:p w14:paraId="2734D462" w14:textId="300EFB6F" w:rsidR="00FE6078" w:rsidRPr="003E5869" w:rsidRDefault="00FE6078" w:rsidP="007B5BB9">
      <w:pPr>
        <w:pStyle w:val="Odsekzoznamu"/>
        <w:widowControl/>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3E5869">
        <w:rPr>
          <w:rFonts w:ascii="Times New Roman" w:hAnsi="Times New Roman" w:cs="Times New Roman"/>
          <w:color w:val="000000"/>
        </w:rPr>
        <w:t>zápisu do registra partnerov verejného sektora</w:t>
      </w:r>
      <w:bookmarkEnd w:id="2"/>
      <w:r w:rsidRPr="003E5869">
        <w:rPr>
          <w:rFonts w:ascii="Times New Roman" w:hAnsi="Times New Roman" w:cs="Times New Roman"/>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w:t>
      </w:r>
      <w:r w:rsidRPr="003E5869">
        <w:rPr>
          <w:rFonts w:ascii="Times New Roman" w:hAnsi="Times New Roman" w:cs="Times New Roman"/>
          <w:color w:val="000000"/>
        </w:rPr>
        <w:lastRenderedPageBreak/>
        <w:t>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28AEA0A4"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Zmluva sa uzatvára na dobu určitú, a to do splnenia zmluvného záväzku. Táto zmluva nadobúda platnosť dňom jej </w:t>
      </w:r>
      <w:r w:rsidR="00C44021" w:rsidRPr="000375F5">
        <w:rPr>
          <w:rFonts w:ascii="Times New Roman" w:hAnsi="Times New Roman" w:cs="Times New Roman"/>
        </w:rPr>
        <w:t>oprávnenými zástupcami oboch Zmluvných strán</w:t>
      </w:r>
      <w:r w:rsidR="00C44021" w:rsidRPr="003E5869" w:rsidDel="00C44021">
        <w:rPr>
          <w:rFonts w:ascii="Times New Roman" w:hAnsi="Times New Roman" w:cs="Times New Roman"/>
        </w:rPr>
        <w:t xml:space="preserve"> </w:t>
      </w:r>
      <w:r w:rsidRPr="003E5869">
        <w:rPr>
          <w:rFonts w:ascii="Times New Roman" w:hAnsi="Times New Roman" w:cs="Times New Roman"/>
        </w:rPr>
        <w:t xml:space="preserve">a účinnosť dňom nasledujúcim po dni jej </w:t>
      </w:r>
      <w:r w:rsidR="00C44021">
        <w:rPr>
          <w:rFonts w:ascii="Times New Roman" w:hAnsi="Times New Roman" w:cs="Times New Roman"/>
        </w:rPr>
        <w:t xml:space="preserve">prvého </w:t>
      </w:r>
      <w:r w:rsidRPr="003E5869">
        <w:rPr>
          <w:rFonts w:ascii="Times New Roman" w:hAnsi="Times New Roman" w:cs="Times New Roman"/>
        </w:rPr>
        <w:t>zverejnenia v</w:t>
      </w:r>
      <w:r w:rsidR="00C44021">
        <w:rPr>
          <w:rFonts w:ascii="Times New Roman" w:hAnsi="Times New Roman" w:cs="Times New Roman"/>
        </w:rPr>
        <w:t> Centrálnom registri zmlúv (</w:t>
      </w:r>
      <w:hyperlink r:id="rId8" w:history="1">
        <w:r w:rsidR="0083496E" w:rsidRPr="00B120C5">
          <w:rPr>
            <w:rStyle w:val="Hypertextovprepojenie"/>
            <w:rFonts w:ascii="Times New Roman" w:hAnsi="Times New Roman" w:cs="Times New Roman"/>
          </w:rPr>
          <w:t>www.crz.gov.sk</w:t>
        </w:r>
      </w:hyperlink>
      <w:r w:rsidR="00C44021">
        <w:rPr>
          <w:rFonts w:ascii="Times New Roman" w:hAnsi="Times New Roman" w:cs="Times New Roman"/>
        </w:rPr>
        <w:t>)</w:t>
      </w:r>
      <w:r w:rsidR="0083496E">
        <w:rPr>
          <w:rFonts w:ascii="Times New Roman" w:hAnsi="Times New Roman" w:cs="Times New Roman"/>
        </w:rPr>
        <w:t xml:space="preserve"> v zmysle </w:t>
      </w:r>
      <w:r w:rsidRPr="003E5869">
        <w:rPr>
          <w:rFonts w:ascii="Times New Roman" w:hAnsi="Times New Roman" w:cs="Times New Roman"/>
        </w:rPr>
        <w:t xml:space="preserve"> § 47a zákona č. 40/1964 Zb. Občiansky zákonník v</w:t>
      </w:r>
      <w:r w:rsidR="0083496E">
        <w:rPr>
          <w:rFonts w:ascii="Times New Roman" w:hAnsi="Times New Roman" w:cs="Times New Roman"/>
        </w:rPr>
        <w:t xml:space="preserve"> platnom </w:t>
      </w:r>
      <w:r w:rsidRPr="003E5869">
        <w:rPr>
          <w:rFonts w:ascii="Times New Roman" w:hAnsi="Times New Roman" w:cs="Times New Roman"/>
        </w:rPr>
        <w:t>znení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w:t>
      </w:r>
      <w:r w:rsidRPr="003E5869">
        <w:rPr>
          <w:rFonts w:ascii="Times New Roman" w:hAnsi="Times New Roman" w:cs="Times New Roman"/>
        </w:rPr>
        <w:lastRenderedPageBreak/>
        <w:t xml:space="preserve">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0C87C5B3" w14:textId="0E4EE458" w:rsidR="00A859CC"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1F3566">
        <w:rPr>
          <w:rStyle w:val="CharStyle15"/>
          <w:sz w:val="22"/>
          <w:szCs w:val="22"/>
        </w:rPr>
        <w:t xml:space="preserve">Príloha č. 1 </w:t>
      </w:r>
      <w:r w:rsidRPr="001F3566">
        <w:rPr>
          <w:rStyle w:val="CharStyle15"/>
          <w:sz w:val="22"/>
          <w:szCs w:val="22"/>
        </w:rPr>
        <w:t xml:space="preserve">   </w:t>
      </w:r>
      <w:r w:rsidR="00FE6078" w:rsidRPr="001F3566">
        <w:rPr>
          <w:rStyle w:val="CharStyle15"/>
          <w:sz w:val="22"/>
          <w:szCs w:val="22"/>
        </w:rPr>
        <w:t>Špecifikácia predmetu kúpy</w:t>
      </w:r>
      <w:r w:rsidR="00C44021">
        <w:rPr>
          <w:rStyle w:val="CharStyle15"/>
          <w:sz w:val="22"/>
          <w:szCs w:val="22"/>
        </w:rPr>
        <w:t xml:space="preserve"> (výkresová dokumentácia a opis predmetu zákazky)</w:t>
      </w:r>
    </w:p>
    <w:p w14:paraId="4EBCEFCA" w14:textId="031A2D63" w:rsidR="00FE6078" w:rsidRPr="001F3566"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sidRPr="001F3566">
        <w:rPr>
          <w:rStyle w:val="CharStyle15"/>
          <w:sz w:val="22"/>
          <w:szCs w:val="22"/>
        </w:rPr>
        <w:t xml:space="preserve">   </w:t>
      </w:r>
      <w:r w:rsidR="00FE6078" w:rsidRPr="001F3566">
        <w:rPr>
          <w:rStyle w:val="CharStyle15"/>
          <w:sz w:val="22"/>
          <w:szCs w:val="22"/>
        </w:rPr>
        <w:t xml:space="preserve">Príloha č. 2 </w:t>
      </w:r>
      <w:r w:rsidRPr="001F3566">
        <w:rPr>
          <w:rStyle w:val="CharStyle15"/>
          <w:sz w:val="22"/>
          <w:szCs w:val="22"/>
        </w:rPr>
        <w:t xml:space="preserve">   C</w:t>
      </w:r>
      <w:r w:rsidR="00FE6078" w:rsidRPr="001F3566">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sidRPr="001F3566">
        <w:rPr>
          <w:rStyle w:val="CharStyle15"/>
          <w:sz w:val="22"/>
          <w:szCs w:val="22"/>
        </w:rPr>
        <w:t xml:space="preserve">   </w:t>
      </w:r>
      <w:r w:rsidR="00FE6078" w:rsidRPr="001F3566">
        <w:rPr>
          <w:rStyle w:val="CharStyle15"/>
          <w:sz w:val="22"/>
          <w:szCs w:val="22"/>
        </w:rPr>
        <w:t>Príloha</w:t>
      </w:r>
      <w:r w:rsidR="00FE6078" w:rsidRPr="003E5869">
        <w:rPr>
          <w:rStyle w:val="CharStyle15"/>
          <w:sz w:val="22"/>
          <w:szCs w:val="22"/>
        </w:rPr>
        <w:t xml:space="preserve">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365847D8"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w:t>
      </w:r>
      <w:r w:rsidR="00A11187">
        <w:rPr>
          <w:rFonts w:ascii="Times New Roman" w:hAnsi="Times New Roman" w:cs="Times New Roman"/>
        </w:rPr>
        <w:t>o</w:t>
      </w:r>
      <w:r w:rsidRPr="003E5869">
        <w:rPr>
          <w:rFonts w:ascii="Times New Roman" w:hAnsi="Times New Roman" w:cs="Times New Roman"/>
        </w:rPr>
        <w:t xml:space="preserve"> </w:t>
      </w:r>
      <w:r w:rsidR="00A11187">
        <w:rPr>
          <w:rFonts w:ascii="Times New Roman" w:hAnsi="Times New Roman" w:cs="Times New Roman"/>
        </w:rPr>
        <w:t xml:space="preserve">Zvolene, </w:t>
      </w:r>
      <w:r w:rsidRPr="003E5869">
        <w:rPr>
          <w:rFonts w:ascii="Times New Roman" w:hAnsi="Times New Roman" w:cs="Times New Roman"/>
        </w:rPr>
        <w:t>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9"/>
      <w:footerReference w:type="even" r:id="rId10"/>
      <w:footerReference w:type="default" r:id="rId11"/>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3BD" w14:textId="77777777" w:rsidR="00B37153" w:rsidRDefault="00B37153" w:rsidP="008525F3">
      <w:pPr>
        <w:spacing w:after="0" w:line="240" w:lineRule="auto"/>
      </w:pPr>
      <w:r>
        <w:separator/>
      </w:r>
    </w:p>
  </w:endnote>
  <w:endnote w:type="continuationSeparator" w:id="0">
    <w:p w14:paraId="20B3628E" w14:textId="77777777" w:rsidR="00B37153" w:rsidRDefault="00B37153" w:rsidP="008525F3">
      <w:pPr>
        <w:spacing w:after="0" w:line="240" w:lineRule="auto"/>
      </w:pPr>
      <w:r>
        <w:continuationSeparator/>
      </w:r>
    </w:p>
  </w:endnote>
  <w:endnote w:type="continuationNotice" w:id="1">
    <w:p w14:paraId="3E64FB42" w14:textId="77777777" w:rsidR="00B37153" w:rsidRDefault="00B3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0375F5"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3FA" w14:textId="77777777" w:rsidR="00B37153" w:rsidRDefault="00B37153" w:rsidP="008525F3">
      <w:pPr>
        <w:spacing w:after="0" w:line="240" w:lineRule="auto"/>
      </w:pPr>
      <w:r>
        <w:separator/>
      </w:r>
    </w:p>
  </w:footnote>
  <w:footnote w:type="continuationSeparator" w:id="0">
    <w:p w14:paraId="17DDEE7B" w14:textId="77777777" w:rsidR="00B37153" w:rsidRDefault="00B37153" w:rsidP="008525F3">
      <w:pPr>
        <w:spacing w:after="0" w:line="240" w:lineRule="auto"/>
      </w:pPr>
      <w:r>
        <w:continuationSeparator/>
      </w:r>
    </w:p>
  </w:footnote>
  <w:footnote w:type="continuationNotice" w:id="1">
    <w:p w14:paraId="3E91D57A" w14:textId="77777777" w:rsidR="00B37153" w:rsidRDefault="00B3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6212652">
    <w:abstractNumId w:val="23"/>
  </w:num>
  <w:num w:numId="2" w16cid:durableId="700936217">
    <w:abstractNumId w:val="13"/>
  </w:num>
  <w:num w:numId="3" w16cid:durableId="148445901">
    <w:abstractNumId w:val="11"/>
  </w:num>
  <w:num w:numId="4" w16cid:durableId="2026863992">
    <w:abstractNumId w:val="7"/>
  </w:num>
  <w:num w:numId="5" w16cid:durableId="66077555">
    <w:abstractNumId w:val="2"/>
  </w:num>
  <w:num w:numId="6" w16cid:durableId="372271424">
    <w:abstractNumId w:val="12"/>
  </w:num>
  <w:num w:numId="7" w16cid:durableId="1569997733">
    <w:abstractNumId w:val="9"/>
  </w:num>
  <w:num w:numId="8" w16cid:durableId="1799714894">
    <w:abstractNumId w:val="1"/>
  </w:num>
  <w:num w:numId="9" w16cid:durableId="1827044712">
    <w:abstractNumId w:val="21"/>
  </w:num>
  <w:num w:numId="10" w16cid:durableId="825436526">
    <w:abstractNumId w:val="20"/>
  </w:num>
  <w:num w:numId="11" w16cid:durableId="619998482">
    <w:abstractNumId w:val="4"/>
  </w:num>
  <w:num w:numId="12" w16cid:durableId="627391843">
    <w:abstractNumId w:val="18"/>
  </w:num>
  <w:num w:numId="13" w16cid:durableId="705251740">
    <w:abstractNumId w:val="16"/>
  </w:num>
  <w:num w:numId="14" w16cid:durableId="869684193">
    <w:abstractNumId w:val="17"/>
  </w:num>
  <w:num w:numId="15" w16cid:durableId="449976414">
    <w:abstractNumId w:val="15"/>
  </w:num>
  <w:num w:numId="16" w16cid:durableId="454299254">
    <w:abstractNumId w:val="3"/>
  </w:num>
  <w:num w:numId="17" w16cid:durableId="872426619">
    <w:abstractNumId w:val="8"/>
  </w:num>
  <w:num w:numId="18" w16cid:durableId="1394082614">
    <w:abstractNumId w:val="14"/>
  </w:num>
  <w:num w:numId="19" w16cid:durableId="1711763941">
    <w:abstractNumId w:val="19"/>
  </w:num>
  <w:num w:numId="20" w16cid:durableId="2059472160">
    <w:abstractNumId w:val="10"/>
  </w:num>
  <w:num w:numId="21" w16cid:durableId="2511409">
    <w:abstractNumId w:val="0"/>
  </w:num>
  <w:num w:numId="22" w16cid:durableId="1746225818">
    <w:abstractNumId w:val="22"/>
  </w:num>
  <w:num w:numId="23" w16cid:durableId="1319309598">
    <w:abstractNumId w:val="6"/>
  </w:num>
  <w:num w:numId="24" w16cid:durableId="2064668284">
    <w:abstractNumId w:val="5"/>
  </w:num>
  <w:num w:numId="25" w16cid:durableId="1707674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375F5"/>
    <w:rsid w:val="00044A9F"/>
    <w:rsid w:val="00067F1B"/>
    <w:rsid w:val="00073F48"/>
    <w:rsid w:val="00074B61"/>
    <w:rsid w:val="00085A67"/>
    <w:rsid w:val="00093681"/>
    <w:rsid w:val="00097193"/>
    <w:rsid w:val="000B171A"/>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1F3566"/>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B48DF"/>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97412"/>
    <w:rsid w:val="005B2C8F"/>
    <w:rsid w:val="005C2786"/>
    <w:rsid w:val="005C6A1C"/>
    <w:rsid w:val="005D2E30"/>
    <w:rsid w:val="005D41C5"/>
    <w:rsid w:val="005F5CC1"/>
    <w:rsid w:val="00604021"/>
    <w:rsid w:val="00614E3C"/>
    <w:rsid w:val="0062695A"/>
    <w:rsid w:val="00634CC6"/>
    <w:rsid w:val="00654FFC"/>
    <w:rsid w:val="006835D3"/>
    <w:rsid w:val="00696B4C"/>
    <w:rsid w:val="006A0CCF"/>
    <w:rsid w:val="006C7E4E"/>
    <w:rsid w:val="006E3D60"/>
    <w:rsid w:val="006F6329"/>
    <w:rsid w:val="00707451"/>
    <w:rsid w:val="00714A48"/>
    <w:rsid w:val="00727CDE"/>
    <w:rsid w:val="00733B75"/>
    <w:rsid w:val="00741E76"/>
    <w:rsid w:val="00745888"/>
    <w:rsid w:val="00760CD0"/>
    <w:rsid w:val="007834D9"/>
    <w:rsid w:val="007B5BB9"/>
    <w:rsid w:val="007C2243"/>
    <w:rsid w:val="008039BE"/>
    <w:rsid w:val="0083281B"/>
    <w:rsid w:val="0083496E"/>
    <w:rsid w:val="0083510F"/>
    <w:rsid w:val="00843B8E"/>
    <w:rsid w:val="008525F3"/>
    <w:rsid w:val="00873310"/>
    <w:rsid w:val="008C18E1"/>
    <w:rsid w:val="008F108F"/>
    <w:rsid w:val="00926CE7"/>
    <w:rsid w:val="009343C5"/>
    <w:rsid w:val="00947683"/>
    <w:rsid w:val="00967D6F"/>
    <w:rsid w:val="00971C9D"/>
    <w:rsid w:val="009A17BE"/>
    <w:rsid w:val="009B1467"/>
    <w:rsid w:val="009B4E48"/>
    <w:rsid w:val="009C5CB3"/>
    <w:rsid w:val="009D384C"/>
    <w:rsid w:val="009D3FB6"/>
    <w:rsid w:val="009D6B44"/>
    <w:rsid w:val="009F0579"/>
    <w:rsid w:val="00A11187"/>
    <w:rsid w:val="00A16673"/>
    <w:rsid w:val="00A31C99"/>
    <w:rsid w:val="00A47A17"/>
    <w:rsid w:val="00A47E40"/>
    <w:rsid w:val="00A53A76"/>
    <w:rsid w:val="00A859CC"/>
    <w:rsid w:val="00AA2A5B"/>
    <w:rsid w:val="00AB3C56"/>
    <w:rsid w:val="00AB6957"/>
    <w:rsid w:val="00AD4878"/>
    <w:rsid w:val="00AD6732"/>
    <w:rsid w:val="00B05863"/>
    <w:rsid w:val="00B21E0B"/>
    <w:rsid w:val="00B277B4"/>
    <w:rsid w:val="00B3563D"/>
    <w:rsid w:val="00B37153"/>
    <w:rsid w:val="00B412FA"/>
    <w:rsid w:val="00B81448"/>
    <w:rsid w:val="00B906BC"/>
    <w:rsid w:val="00BC464A"/>
    <w:rsid w:val="00C030D1"/>
    <w:rsid w:val="00C03A17"/>
    <w:rsid w:val="00C1058B"/>
    <w:rsid w:val="00C207B2"/>
    <w:rsid w:val="00C27812"/>
    <w:rsid w:val="00C42944"/>
    <w:rsid w:val="00C44021"/>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46D13"/>
    <w:rsid w:val="00E748CE"/>
    <w:rsid w:val="00E8467F"/>
    <w:rsid w:val="00E86AD9"/>
    <w:rsid w:val="00E921CB"/>
    <w:rsid w:val="00E97285"/>
    <w:rsid w:val="00EB325A"/>
    <w:rsid w:val="00EB37AF"/>
    <w:rsid w:val="00EC1FC6"/>
    <w:rsid w:val="00F068C2"/>
    <w:rsid w:val="00F10310"/>
    <w:rsid w:val="00F21C62"/>
    <w:rsid w:val="00F226FD"/>
    <w:rsid w:val="00F52339"/>
    <w:rsid w:val="00F52EE2"/>
    <w:rsid w:val="00F81B29"/>
    <w:rsid w:val="00F82F25"/>
    <w:rsid w:val="00F90C3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 w:type="paragraph" w:styleId="Normlnywebov">
    <w:name w:val="Normal (Web)"/>
    <w:basedOn w:val="Normlny"/>
    <w:uiPriority w:val="99"/>
    <w:semiHidden/>
    <w:unhideWhenUsed/>
    <w:rsid w:val="007B5BB9"/>
    <w:pPr>
      <w:widowControl/>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C44021"/>
    <w:pPr>
      <w:widowControl/>
      <w:spacing w:after="0" w:line="240" w:lineRule="auto"/>
    </w:pPr>
    <w:rPr>
      <w:lang w:val="sk-SK"/>
    </w:rPr>
  </w:style>
  <w:style w:type="character" w:styleId="Hypertextovprepojenie">
    <w:name w:val="Hyperlink"/>
    <w:basedOn w:val="Predvolenpsmoodseku"/>
    <w:uiPriority w:val="99"/>
    <w:unhideWhenUsed/>
    <w:rsid w:val="0083496E"/>
    <w:rPr>
      <w:color w:val="0000FF" w:themeColor="hyperlink"/>
      <w:u w:val="single"/>
    </w:rPr>
  </w:style>
  <w:style w:type="character" w:styleId="Nevyrieenzmienka">
    <w:name w:val="Unresolved Mention"/>
    <w:basedOn w:val="Predvolenpsmoodseku"/>
    <w:uiPriority w:val="99"/>
    <w:semiHidden/>
    <w:unhideWhenUsed/>
    <w:rsid w:val="0083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2B823-861A-4D80-976D-97152BC4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2746</Words>
  <Characters>15658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Debnárová Monika</cp:lastModifiedBy>
  <cp:revision>3</cp:revision>
  <cp:lastPrinted>2020-09-24T12:49:00Z</cp:lastPrinted>
  <dcterms:created xsi:type="dcterms:W3CDTF">2023-08-25T09:03:00Z</dcterms:created>
  <dcterms:modified xsi:type="dcterms:W3CDTF">2023-08-25T11:19:00Z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