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B6CC" w14:textId="5DA14E92" w:rsidR="007E1E79" w:rsidRPr="007F7531" w:rsidRDefault="007E1E79" w:rsidP="00175E1F">
      <w:pPr>
        <w:pStyle w:val="Nadpis1"/>
        <w:keepLines/>
        <w:tabs>
          <w:tab w:val="clear" w:pos="540"/>
          <w:tab w:val="num" w:pos="0"/>
        </w:tabs>
        <w:jc w:val="right"/>
        <w:rPr>
          <w:b/>
          <w:noProof w:val="0"/>
          <w:sz w:val="24"/>
          <w:szCs w:val="24"/>
        </w:rPr>
      </w:pPr>
      <w:bookmarkStart w:id="0" w:name="_Toc534884845"/>
      <w:r w:rsidRPr="007F7531">
        <w:rPr>
          <w:b/>
          <w:noProof w:val="0"/>
          <w:sz w:val="24"/>
          <w:szCs w:val="24"/>
        </w:rPr>
        <w:t>Príloha č. </w:t>
      </w:r>
      <w:r w:rsidR="00914B9C">
        <w:rPr>
          <w:b/>
          <w:noProof w:val="0"/>
          <w:sz w:val="24"/>
          <w:szCs w:val="24"/>
        </w:rPr>
        <w:t>1</w:t>
      </w:r>
    </w:p>
    <w:p w14:paraId="42D7A094" w14:textId="77777777" w:rsidR="007E1E79" w:rsidRPr="007F7531" w:rsidRDefault="007E1E79" w:rsidP="00175E1F">
      <w:pPr>
        <w:pStyle w:val="Nadpis1"/>
        <w:keepLines/>
        <w:tabs>
          <w:tab w:val="clear" w:pos="540"/>
          <w:tab w:val="num" w:pos="0"/>
        </w:tabs>
        <w:rPr>
          <w:noProof w:val="0"/>
          <w:sz w:val="24"/>
          <w:szCs w:val="24"/>
        </w:rPr>
      </w:pPr>
    </w:p>
    <w:p w14:paraId="653819F7" w14:textId="1BD964ED" w:rsidR="007E1E79" w:rsidRPr="009B565E" w:rsidRDefault="007E1E79" w:rsidP="00175E1F">
      <w:pPr>
        <w:pStyle w:val="Nadpis1"/>
        <w:keepLines/>
        <w:tabs>
          <w:tab w:val="clear" w:pos="540"/>
          <w:tab w:val="num" w:pos="0"/>
        </w:tabs>
        <w:rPr>
          <w:b/>
          <w:noProof w:val="0"/>
          <w:color w:val="0000FF"/>
          <w:sz w:val="32"/>
          <w:szCs w:val="32"/>
        </w:rPr>
      </w:pPr>
      <w:r w:rsidRPr="009B565E">
        <w:rPr>
          <w:b/>
          <w:noProof w:val="0"/>
          <w:color w:val="0000FF"/>
          <w:sz w:val="32"/>
          <w:szCs w:val="32"/>
        </w:rPr>
        <w:t>Opis predmetu zákazky</w:t>
      </w:r>
      <w:bookmarkEnd w:id="0"/>
    </w:p>
    <w:p w14:paraId="6DA2E43B" w14:textId="77777777" w:rsidR="007E1E79" w:rsidRPr="007F7531" w:rsidRDefault="007E1E79" w:rsidP="00175E1F">
      <w:pPr>
        <w:keepNext/>
        <w:keepLines/>
        <w:rPr>
          <w:noProof w:val="0"/>
        </w:rPr>
      </w:pPr>
    </w:p>
    <w:p w14:paraId="668A45BD" w14:textId="4320CCA6" w:rsidR="00C21DD6" w:rsidRDefault="00C21DD6" w:rsidP="00175E1F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7198913B" w14:textId="294C0703" w:rsidR="009B565E" w:rsidRDefault="009B565E" w:rsidP="00175E1F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22EA3051" w14:textId="5260F70A" w:rsidR="009B565E" w:rsidRPr="00971550" w:rsidRDefault="009B565E" w:rsidP="00175E1F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>Názov predmetu zákazky: „</w:t>
      </w:r>
      <w:r w:rsidR="00781C6B" w:rsidRPr="00E05C68">
        <w:rPr>
          <w:rFonts w:ascii="Times New Roman" w:hAnsi="Times New Roman" w:cs="Times New Roman"/>
          <w:b/>
          <w:bCs/>
        </w:rPr>
        <w:t>Stavebné a elektromontážne práce na mestskej dráhe</w:t>
      </w:r>
      <w:r>
        <w:rPr>
          <w:rFonts w:ascii="Garamond" w:eastAsiaTheme="minorHAnsi" w:hAnsi="Garamond" w:cs="Tahoma"/>
        </w:rPr>
        <w:t>.</w:t>
      </w:r>
      <w:r w:rsidRPr="00971550">
        <w:rPr>
          <w:rFonts w:ascii="Garamond" w:eastAsiaTheme="minorHAnsi" w:hAnsi="Garamond" w:cs="Tahoma"/>
        </w:rPr>
        <w:t>“</w:t>
      </w:r>
    </w:p>
    <w:p w14:paraId="0D4C6ADF" w14:textId="77777777" w:rsidR="009B565E" w:rsidRPr="00971550" w:rsidRDefault="009B565E" w:rsidP="00175E1F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color w:val="auto"/>
        </w:rPr>
      </w:pPr>
    </w:p>
    <w:p w14:paraId="47AC9F83" w14:textId="251F4528" w:rsidR="009B565E" w:rsidRPr="00971550" w:rsidRDefault="009B565E" w:rsidP="00175E1F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eastAsiaTheme="minorHAnsi" w:hAnsi="Garamond" w:cs="Calibri"/>
          <w:bCs/>
          <w:color w:val="auto"/>
        </w:rPr>
        <w:t xml:space="preserve">Celková predpokladaná hodnota: </w:t>
      </w:r>
      <w:r w:rsidR="006B2640">
        <w:rPr>
          <w:rFonts w:ascii="Garamond" w:eastAsiaTheme="minorHAnsi" w:hAnsi="Garamond" w:cs="Calibri"/>
          <w:bCs/>
          <w:color w:val="auto"/>
        </w:rPr>
        <w:t>2</w:t>
      </w:r>
      <w:r w:rsidR="00781C6B">
        <w:rPr>
          <w:rFonts w:ascii="Garamond" w:eastAsiaTheme="minorHAnsi" w:hAnsi="Garamond" w:cs="Calibri"/>
          <w:bCs/>
          <w:color w:val="auto"/>
        </w:rPr>
        <w:t>0</w:t>
      </w:r>
      <w:r w:rsidR="00514542">
        <w:rPr>
          <w:rFonts w:ascii="Garamond" w:eastAsiaTheme="minorHAnsi" w:hAnsi="Garamond" w:cs="Calibri"/>
          <w:bCs/>
          <w:color w:val="auto"/>
        </w:rPr>
        <w:t xml:space="preserve"> 000</w:t>
      </w:r>
      <w:r>
        <w:rPr>
          <w:rFonts w:ascii="Garamond" w:eastAsiaTheme="minorHAnsi" w:hAnsi="Garamond" w:cs="Calibri"/>
          <w:bCs/>
          <w:color w:val="auto"/>
        </w:rPr>
        <w:t xml:space="preserve"> </w:t>
      </w:r>
      <w:r w:rsidRPr="008D0130">
        <w:rPr>
          <w:rFonts w:ascii="Garamond" w:eastAsiaTheme="minorHAnsi" w:hAnsi="Garamond" w:cs="Calibri"/>
          <w:bCs/>
          <w:color w:val="auto"/>
        </w:rPr>
        <w:t>000</w:t>
      </w:r>
      <w:r w:rsidRPr="00971550">
        <w:rPr>
          <w:rFonts w:ascii="Garamond" w:eastAsiaTheme="minorHAnsi" w:hAnsi="Garamond" w:cs="Calibri"/>
          <w:bCs/>
          <w:color w:val="auto"/>
        </w:rPr>
        <w:t xml:space="preserve">,00 </w:t>
      </w:r>
      <w:r w:rsidRPr="00971550">
        <w:rPr>
          <w:rFonts w:ascii="Garamond" w:eastAsiaTheme="minorHAnsi" w:hAnsi="Garamond" w:cs="Tahoma"/>
          <w:color w:val="auto"/>
        </w:rPr>
        <w:t xml:space="preserve">EUR </w:t>
      </w:r>
      <w:r w:rsidRPr="00971550">
        <w:rPr>
          <w:rFonts w:ascii="Garamond" w:eastAsiaTheme="minorHAnsi" w:hAnsi="Garamond" w:cs="Calibri"/>
          <w:bCs/>
          <w:color w:val="auto"/>
        </w:rPr>
        <w:t xml:space="preserve">bez DPH </w:t>
      </w:r>
    </w:p>
    <w:p w14:paraId="44704EC3" w14:textId="77777777" w:rsidR="009B565E" w:rsidRPr="00971550" w:rsidRDefault="009B565E" w:rsidP="00175E1F">
      <w:pPr>
        <w:pStyle w:val="Odsekzoznamu"/>
        <w:keepNext/>
        <w:keepLines/>
        <w:spacing w:line="271" w:lineRule="auto"/>
        <w:rPr>
          <w:rFonts w:ascii="Garamond" w:hAnsi="Garamond"/>
          <w:sz w:val="24"/>
          <w:szCs w:val="24"/>
        </w:rPr>
      </w:pPr>
    </w:p>
    <w:p w14:paraId="238A7771" w14:textId="77777777" w:rsidR="009B565E" w:rsidRPr="00971550" w:rsidRDefault="009B565E" w:rsidP="00175E1F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971550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Lehota plnenia: </w:t>
      </w:r>
      <w:r w:rsidRPr="00971550">
        <w:rPr>
          <w:rFonts w:ascii="Garamond" w:hAnsi="Garamond"/>
          <w:sz w:val="24"/>
          <w:szCs w:val="24"/>
        </w:rPr>
        <w:t>Dynamický nákupný systém (ďalej ako „</w:t>
      </w:r>
      <w:r w:rsidRPr="00971550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DNS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“) sa vytvára na obdobie 48 mesiacov od jeho zriadenia. </w:t>
      </w:r>
    </w:p>
    <w:p w14:paraId="1214F369" w14:textId="2CB8A858" w:rsidR="009B565E" w:rsidRDefault="009B565E" w:rsidP="00175E1F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</w:rPr>
      </w:pPr>
    </w:p>
    <w:p w14:paraId="6EFA0E2D" w14:textId="1025EACB" w:rsidR="00781C6B" w:rsidRDefault="009128AA" w:rsidP="00E405E2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</w:pPr>
      <w:r w:rsidRPr="00781C6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Predmetom</w:t>
      </w:r>
      <w:r w:rsidRPr="00781C6B">
        <w:rPr>
          <w:rFonts w:ascii="Garamond" w:hAnsi="Garamond"/>
          <w:bCs/>
        </w:rPr>
        <w:t xml:space="preserve"> </w:t>
      </w:r>
      <w:r w:rsidRPr="00781C6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zákazky je vytvorenie DNS ktorý bude slúžiť na zadávanie zákaziek na </w:t>
      </w:r>
      <w:r w:rsidR="00781C6B" w:rsidRPr="00781C6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uskutočnenie stavebných prác na električkových a trolejbusových dráhach za účelom odstránenia následkov havárie alebo akéhokoľvek poškodenia zariadení</w:t>
      </w:r>
      <w:r w:rsidR="00781C6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,</w:t>
      </w:r>
      <w:r w:rsidR="00781C6B" w:rsidRPr="00781C6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spôsobených buď vlastnou prevádzkou alebo cudzou osobou</w:t>
      </w:r>
      <w:r w:rsidR="00781C6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,</w:t>
      </w:r>
      <w:r w:rsidR="00781C6B" w:rsidRPr="00781C6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prípadne organizáciou v dôsledku výkonu stavebnej činnosti alebo cestnej prevádzky a uvedenie týchto zariadení do prevádzkyschopného a teda bezpečného stavu</w:t>
      </w:r>
      <w:r w:rsidR="00781C6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,</w:t>
      </w:r>
      <w:r w:rsidR="00781C6B" w:rsidRPr="00781C6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 ale aj na zadávanie zákaziek na uskutočnenie plánovaných opráv či modernizácií zariadení PTZ stavieb na mestských dráhach</w:t>
      </w:r>
      <w:r w:rsidR="00781C6B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.</w:t>
      </w:r>
    </w:p>
    <w:p w14:paraId="02296AD1" w14:textId="77777777" w:rsidR="006C2204" w:rsidRPr="006C2204" w:rsidRDefault="006C2204" w:rsidP="006C2204">
      <w:pPr>
        <w:pStyle w:val="Odsekzoznamu"/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</w:pPr>
    </w:p>
    <w:p w14:paraId="00ED63D8" w14:textId="45BCEE4E" w:rsidR="006C2204" w:rsidRDefault="006C2204" w:rsidP="006C2204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</w:pPr>
      <w:r w:rsidRPr="006C220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Vzhľadom na realizáciu zákaziek v zóne trakčného vedenia je v zmysle platných predpisov nevyhnutná požiadavka obstarávateľskej organizácie, že uchádzač musí ako právnická osoba v</w:t>
      </w:r>
      <w:r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 </w:t>
      </w:r>
      <w:r w:rsidRPr="006C220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 xml:space="preserve">ponuke predložiť </w:t>
      </w:r>
      <w:bookmarkStart w:id="1" w:name="_Hlk86093528"/>
      <w:r w:rsidRPr="006C220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oprávnenie pre určené činnosti na mestských dráhach vydané Dopravným úradom SR alebo poverenou právnickou osobou (PPO) v zmysle zákona o dráhach č.</w:t>
      </w:r>
      <w:r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 </w:t>
      </w:r>
      <w:r w:rsidRPr="006C220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513/2009 Z. z. a Vyhl. č. 205/2010 v znení neskorších predpisov</w:t>
      </w:r>
      <w:bookmarkEnd w:id="1"/>
      <w:r w:rsidRPr="006C220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. Požadovaný minimálny rozsah oprávnenia v zmysle Vyhlášky č. 205/2010 Z. z. v znení do 1.7.2020):</w:t>
      </w:r>
    </w:p>
    <w:p w14:paraId="0EFC7507" w14:textId="77777777" w:rsidR="006C2204" w:rsidRPr="006C2204" w:rsidRDefault="006C2204" w:rsidP="006C2204">
      <w:pPr>
        <w:keepNext/>
        <w:keepLines/>
        <w:autoSpaceDE w:val="0"/>
        <w:autoSpaceDN w:val="0"/>
        <w:adjustRightInd w:val="0"/>
        <w:spacing w:line="271" w:lineRule="auto"/>
        <w:jc w:val="both"/>
        <w:rPr>
          <w:rFonts w:eastAsiaTheme="minorHAnsi" w:cs="Calibri"/>
          <w:bCs/>
          <w:color w:val="000000"/>
          <w:lang w:eastAsia="en-US"/>
        </w:rPr>
      </w:pPr>
    </w:p>
    <w:p w14:paraId="3682327B" w14:textId="77777777" w:rsidR="006C2204" w:rsidRDefault="006C2204" w:rsidP="006C2204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274572">
        <w:rPr>
          <w:rFonts w:ascii="Garamond" w:hAnsi="Garamond" w:cstheme="minorHAnsi"/>
          <w:lang w:eastAsia="sk-SK"/>
        </w:rPr>
        <w:t>E1</w:t>
      </w:r>
      <w:r>
        <w:rPr>
          <w:rFonts w:ascii="Garamond" w:hAnsi="Garamond" w:cstheme="minorHAnsi"/>
          <w:lang w:eastAsia="sk-SK"/>
        </w:rPr>
        <w:t xml:space="preserve"> Elektrické rozvodné zariadenia dráh a elektrické stanice dráh bez obmedzenia napätia</w:t>
      </w:r>
    </w:p>
    <w:p w14:paraId="067B877A" w14:textId="77777777" w:rsidR="006C2204" w:rsidRPr="00274572" w:rsidRDefault="006C2204" w:rsidP="00274572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274572">
        <w:rPr>
          <w:rFonts w:ascii="Garamond" w:hAnsi="Garamond" w:cstheme="minorHAnsi"/>
          <w:lang w:eastAsia="sk-SK"/>
        </w:rPr>
        <w:t>E2 Elektrické siete dráh a elektrické rozvody do 1000V AC vrátane a 1500V DC vrátane,</w:t>
      </w:r>
    </w:p>
    <w:p w14:paraId="7B878D9B" w14:textId="7BCFB644" w:rsidR="006C2204" w:rsidRDefault="006C2204" w:rsidP="006C2204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>
        <w:rPr>
          <w:rFonts w:ascii="Garamond" w:hAnsi="Garamond" w:cstheme="minorHAnsi"/>
          <w:lang w:eastAsia="sk-SK"/>
        </w:rPr>
        <w:t>E</w:t>
      </w:r>
      <w:r w:rsidRPr="00274572">
        <w:rPr>
          <w:rFonts w:ascii="Garamond" w:hAnsi="Garamond" w:cstheme="minorHAnsi"/>
          <w:lang w:eastAsia="sk-SK"/>
        </w:rPr>
        <w:t>3</w:t>
      </w:r>
      <w:r>
        <w:rPr>
          <w:rFonts w:ascii="Garamond" w:hAnsi="Garamond" w:cstheme="minorHAnsi"/>
          <w:lang w:eastAsia="sk-SK"/>
        </w:rPr>
        <w:t xml:space="preserve"> Trakčné napájacie a spínacie stanice</w:t>
      </w:r>
      <w:r w:rsidR="00274572">
        <w:rPr>
          <w:rFonts w:ascii="Garamond" w:hAnsi="Garamond" w:cstheme="minorHAnsi"/>
          <w:lang w:eastAsia="sk-SK"/>
        </w:rPr>
        <w:t>,</w:t>
      </w:r>
    </w:p>
    <w:p w14:paraId="4C0903B0" w14:textId="77777777" w:rsidR="006C2204" w:rsidRPr="00274572" w:rsidRDefault="006C2204" w:rsidP="00274572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274572">
        <w:rPr>
          <w:rFonts w:ascii="Garamond" w:hAnsi="Garamond" w:cstheme="minorHAnsi"/>
          <w:lang w:eastAsia="sk-SK"/>
        </w:rPr>
        <w:t>E4a) Trakčné vedenia električkových a trolejbusových dráh, prívodná koľajnica metra,</w:t>
      </w:r>
    </w:p>
    <w:p w14:paraId="10DF4727" w14:textId="77777777" w:rsidR="006C2204" w:rsidRPr="00274572" w:rsidRDefault="006C2204" w:rsidP="00274572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274572">
        <w:rPr>
          <w:rFonts w:ascii="Garamond" w:hAnsi="Garamond" w:cstheme="minorHAnsi"/>
          <w:lang w:eastAsia="sk-SK"/>
        </w:rPr>
        <w:t>E5 Elektrické zariadenia napájané z trakčného vedenia,</w:t>
      </w:r>
    </w:p>
    <w:p w14:paraId="57358930" w14:textId="77777777" w:rsidR="006C2204" w:rsidRDefault="006C2204" w:rsidP="006C2204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274572">
        <w:rPr>
          <w:rFonts w:ascii="Garamond" w:hAnsi="Garamond" w:cstheme="minorHAnsi"/>
          <w:lang w:eastAsia="sk-SK"/>
        </w:rPr>
        <w:t>E9</w:t>
      </w:r>
      <w:r>
        <w:rPr>
          <w:rFonts w:ascii="Garamond" w:hAnsi="Garamond" w:cstheme="minorHAnsi"/>
          <w:lang w:eastAsia="sk-SK"/>
        </w:rPr>
        <w:t xml:space="preserve"> Náhradné zdroje elektrickej energie na prevádzkovanie dráhy</w:t>
      </w:r>
    </w:p>
    <w:p w14:paraId="60B9549E" w14:textId="77777777" w:rsidR="006C2204" w:rsidRPr="00274572" w:rsidRDefault="006C2204" w:rsidP="00274572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274572">
        <w:rPr>
          <w:rFonts w:ascii="Garamond" w:hAnsi="Garamond" w:cstheme="minorHAnsi"/>
          <w:lang w:eastAsia="sk-SK"/>
        </w:rPr>
        <w:t>E11 Zariadenia na ochranu pred účinkami atmosférickej a statickej elektriny a</w:t>
      </w:r>
    </w:p>
    <w:p w14:paraId="40F02D1B" w14:textId="77777777" w:rsidR="006C2204" w:rsidRPr="00274572" w:rsidRDefault="006C2204" w:rsidP="00274572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274572">
        <w:rPr>
          <w:rFonts w:ascii="Garamond" w:hAnsi="Garamond" w:cstheme="minorHAnsi"/>
          <w:lang w:eastAsia="sk-SK"/>
        </w:rPr>
        <w:t xml:space="preserve">E12 Zariadenia na ochranu pred negatívnymi účinkami spätných trakčných prúdov; </w:t>
      </w:r>
    </w:p>
    <w:p w14:paraId="58FF3A60" w14:textId="77777777" w:rsidR="006C2204" w:rsidRPr="006C2204" w:rsidRDefault="006C2204" w:rsidP="006C2204">
      <w:pPr>
        <w:pStyle w:val="Odsekzoznamu"/>
        <w:ind w:left="360"/>
        <w:rPr>
          <w:rFonts w:cs="Arial"/>
          <w:i/>
          <w:iCs/>
          <w:sz w:val="22"/>
          <w:szCs w:val="22"/>
        </w:rPr>
      </w:pPr>
    </w:p>
    <w:p w14:paraId="526F5F59" w14:textId="77777777" w:rsidR="006C2204" w:rsidRDefault="006C2204" w:rsidP="006C2204">
      <w:pPr>
        <w:pStyle w:val="Odsekzoznamu"/>
        <w:keepNext/>
        <w:keepLines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360"/>
        <w:jc w:val="both"/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</w:pPr>
      <w:r w:rsidRPr="006C220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t>resp. (oprávnenia v zmysle Vyhlášky č. 180/2020 Z. z. od 1.7.2020):</w:t>
      </w:r>
    </w:p>
    <w:p w14:paraId="77B465A9" w14:textId="77777777" w:rsidR="006C2204" w:rsidRPr="006C2204" w:rsidRDefault="006C2204" w:rsidP="006C2204">
      <w:pPr>
        <w:pStyle w:val="Odsekzoznamu"/>
        <w:keepNext/>
        <w:keepLines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360"/>
        <w:jc w:val="both"/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</w:pPr>
    </w:p>
    <w:p w14:paraId="666DAC1B" w14:textId="77777777" w:rsidR="00274572" w:rsidRPr="00274572" w:rsidRDefault="00274572" w:rsidP="00274572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274572">
        <w:rPr>
          <w:rFonts w:ascii="Garamond" w:hAnsi="Garamond" w:cstheme="minorHAnsi"/>
          <w:lang w:eastAsia="sk-SK"/>
        </w:rPr>
        <w:t>E1 Elektrické rozvodné zariadenia dráh a elektrické stanice dráh bez obmedzenia napätia,</w:t>
      </w:r>
    </w:p>
    <w:p w14:paraId="15A9B772" w14:textId="455134AD" w:rsidR="006C2204" w:rsidRDefault="006C2204" w:rsidP="006C2204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6C2204">
        <w:rPr>
          <w:rFonts w:ascii="Garamond" w:hAnsi="Garamond" w:cstheme="minorHAnsi"/>
          <w:lang w:eastAsia="sk-SK"/>
        </w:rPr>
        <w:t>E2 Elektrické siete dráh a elektrické rozvody dráh do 1000 V AC a 1500 V DC vrátane,</w:t>
      </w:r>
    </w:p>
    <w:p w14:paraId="1E3BC705" w14:textId="6A903BDF" w:rsidR="00274572" w:rsidRDefault="00274572" w:rsidP="00274572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274572">
        <w:rPr>
          <w:rFonts w:ascii="Garamond" w:hAnsi="Garamond" w:cstheme="minorHAnsi"/>
          <w:lang w:eastAsia="sk-SK"/>
        </w:rPr>
        <w:t>E3a</w:t>
      </w:r>
      <w:r>
        <w:rPr>
          <w:rFonts w:ascii="Garamond" w:hAnsi="Garamond" w:cstheme="minorHAnsi"/>
          <w:lang w:eastAsia="sk-SK"/>
        </w:rPr>
        <w:t xml:space="preserve"> Trakčné napájacie a spínacie stanice električkových, trolejbusových a špeciálnych dráh,</w:t>
      </w:r>
    </w:p>
    <w:p w14:paraId="2AEF4949" w14:textId="77777777" w:rsidR="006C2204" w:rsidRPr="006C2204" w:rsidRDefault="006C2204" w:rsidP="006C2204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6C2204">
        <w:rPr>
          <w:rFonts w:ascii="Garamond" w:hAnsi="Garamond" w:cstheme="minorHAnsi"/>
          <w:lang w:eastAsia="sk-SK"/>
        </w:rPr>
        <w:t>E4a Trakčné vedenie električkových, trolejbusových a špeciálnych dráh, prívodná koľajnica metra,</w:t>
      </w:r>
    </w:p>
    <w:p w14:paraId="38DB4A30" w14:textId="77777777" w:rsidR="006C2204" w:rsidRDefault="006C2204" w:rsidP="006C2204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6C2204">
        <w:rPr>
          <w:rFonts w:ascii="Garamond" w:hAnsi="Garamond" w:cstheme="minorHAnsi"/>
          <w:lang w:eastAsia="sk-SK"/>
        </w:rPr>
        <w:t>E5 Elektrické zariadenia napájané z trakčného vedenia,</w:t>
      </w:r>
    </w:p>
    <w:p w14:paraId="309AB295" w14:textId="39C1D6EB" w:rsidR="00274572" w:rsidRDefault="00274572" w:rsidP="00274572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274572">
        <w:rPr>
          <w:rFonts w:ascii="Garamond" w:hAnsi="Garamond" w:cstheme="minorHAnsi"/>
          <w:lang w:eastAsia="sk-SK"/>
        </w:rPr>
        <w:t>E9</w:t>
      </w:r>
      <w:r>
        <w:rPr>
          <w:rFonts w:ascii="Garamond" w:hAnsi="Garamond" w:cstheme="minorHAnsi"/>
          <w:lang w:eastAsia="sk-SK"/>
        </w:rPr>
        <w:t xml:space="preserve"> Náhradné zdroje elektrickej energie na prevádzkovanie dráhy,</w:t>
      </w:r>
    </w:p>
    <w:p w14:paraId="4FB9F704" w14:textId="5C5ED893" w:rsidR="006C2204" w:rsidRPr="006C2204" w:rsidRDefault="006C2204" w:rsidP="006C2204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6C2204">
        <w:rPr>
          <w:rFonts w:ascii="Garamond" w:hAnsi="Garamond" w:cstheme="minorHAnsi"/>
          <w:lang w:eastAsia="sk-SK"/>
        </w:rPr>
        <w:t>E11 Zariadenia dráh na ochranu pred účinkami atmosférickej a statickej elektriny</w:t>
      </w:r>
      <w:r w:rsidR="00274572">
        <w:rPr>
          <w:rFonts w:ascii="Garamond" w:hAnsi="Garamond" w:cstheme="minorHAnsi"/>
          <w:lang w:eastAsia="sk-SK"/>
        </w:rPr>
        <w:t>,</w:t>
      </w:r>
    </w:p>
    <w:p w14:paraId="2C463DA7" w14:textId="77777777" w:rsidR="006C2204" w:rsidRPr="006C2204" w:rsidRDefault="006C2204" w:rsidP="006C2204">
      <w:pPr>
        <w:pStyle w:val="Odsekzoznamu"/>
        <w:tabs>
          <w:tab w:val="left" w:pos="2410"/>
        </w:tabs>
        <w:ind w:left="360"/>
        <w:rPr>
          <w:rFonts w:ascii="Garamond" w:hAnsi="Garamond" w:cstheme="minorHAnsi"/>
          <w:lang w:eastAsia="sk-SK"/>
        </w:rPr>
      </w:pPr>
      <w:r w:rsidRPr="006C2204">
        <w:rPr>
          <w:rFonts w:ascii="Garamond" w:hAnsi="Garamond" w:cstheme="minorHAnsi"/>
          <w:lang w:eastAsia="sk-SK"/>
        </w:rPr>
        <w:t>E12 Zariadenia na ochranu pred negatívnymi účinkami spätných trakčných prúdov.</w:t>
      </w:r>
    </w:p>
    <w:p w14:paraId="1DB80A69" w14:textId="77777777" w:rsidR="006C2204" w:rsidRPr="006C2204" w:rsidRDefault="006C2204" w:rsidP="006C2204">
      <w:pPr>
        <w:pStyle w:val="Odsekzoznamu"/>
        <w:ind w:left="360"/>
        <w:jc w:val="both"/>
        <w:rPr>
          <w:rFonts w:cs="Arial"/>
          <w:sz w:val="22"/>
          <w:szCs w:val="22"/>
        </w:rPr>
      </w:pPr>
    </w:p>
    <w:p w14:paraId="57A3F4A2" w14:textId="77777777" w:rsidR="006C2204" w:rsidRPr="006C2204" w:rsidRDefault="006C2204" w:rsidP="006C2204">
      <w:pPr>
        <w:pStyle w:val="Odsekzoznamu"/>
        <w:ind w:left="360"/>
        <w:jc w:val="both"/>
        <w:rPr>
          <w:sz w:val="22"/>
          <w:szCs w:val="22"/>
        </w:rPr>
      </w:pPr>
    </w:p>
    <w:p w14:paraId="10C57515" w14:textId="1D22E371" w:rsidR="006C2204" w:rsidRPr="006C2204" w:rsidRDefault="006C2204" w:rsidP="006C2204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</w:pPr>
      <w:r w:rsidRPr="006C2204">
        <w:rPr>
          <w:rFonts w:ascii="Garamond" w:eastAsiaTheme="minorHAnsi" w:hAnsi="Garamond" w:cs="Calibri"/>
          <w:bCs/>
          <w:color w:val="000000"/>
          <w:sz w:val="24"/>
          <w:szCs w:val="24"/>
          <w:lang w:eastAsia="en-US"/>
        </w:rPr>
        <w:lastRenderedPageBreak/>
        <w:t>Prípustný je aj ekvivalent oprávnenia preukazujúci predmetné skutočnosti vydávaný v inom štáte ako SR. V prípade, ak úspešný uchádzač predložil v rámci ponuky ekvivalent vydaný v inom štáte ako SR k oprávneniu pre určené činnosti na mestských dráhach vydané Dopravným úradom SR alebo poverenou právnickou osobou (PPO) v zmysle zákona o dráhach č. 513/2009 Z. z. a Vyhl. č. 205/2010 v znení neskorších predpisov, musí pred podpisom zmluvy predložiť Oprávnenie o odbornej spôsobilosti vydané Dopravným úradom alebo PPO v zmysle § 17 ods. (4) zákona č.513/2009 Z. z. o dráhach a vyhlášky č. 205/2010 Z.z. Ministerstva dopravy, pôšt a telekomunikácií Slovenskej republiky o určených technických zariadeniach a o určených činnostiach na určených technických zariadeniach, ktoré je nevyhnutné pre výkon činnosti na území SR.</w:t>
      </w:r>
    </w:p>
    <w:p w14:paraId="431F02F9" w14:textId="77777777" w:rsidR="009128AA" w:rsidRPr="00971550" w:rsidRDefault="009128AA" w:rsidP="00175E1F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</w:rPr>
      </w:pPr>
    </w:p>
    <w:p w14:paraId="311A1377" w14:textId="66EADE7A" w:rsidR="009B565E" w:rsidRPr="00971550" w:rsidRDefault="009B565E" w:rsidP="00175E1F">
      <w:pPr>
        <w:pStyle w:val="Default"/>
        <w:keepNext/>
        <w:keepLines/>
        <w:numPr>
          <w:ilvl w:val="0"/>
          <w:numId w:val="36"/>
        </w:numPr>
        <w:spacing w:line="271" w:lineRule="auto"/>
        <w:ind w:left="426" w:hanging="426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  <w:color w:val="auto"/>
        </w:rPr>
        <w:t>Obstarávateľská organizácia bude vyhlasovať konkrétnu zákazku s použitím DNS na základe Výzvy na predkladanie ponúk (ďalej ako „</w:t>
      </w:r>
      <w:r w:rsidRPr="00971550">
        <w:rPr>
          <w:rFonts w:ascii="Garamond" w:hAnsi="Garamond"/>
          <w:b/>
          <w:bCs/>
          <w:color w:val="auto"/>
        </w:rPr>
        <w:t>Výzva na predkladanie ponúk</w:t>
      </w:r>
      <w:r w:rsidRPr="00971550">
        <w:rPr>
          <w:rFonts w:ascii="Garamond" w:hAnsi="Garamond"/>
          <w:color w:val="auto"/>
        </w:rPr>
        <w:t>“). Presná špecifikácia predmetu zákazky bude uvedená v príslušnej Výzve na predkladanie ponúk v rámci zadávania konkrétnej zákazky</w:t>
      </w:r>
      <w:r>
        <w:rPr>
          <w:rFonts w:ascii="Garamond" w:hAnsi="Garamond"/>
          <w:color w:val="auto"/>
        </w:rPr>
        <w:t>.</w:t>
      </w:r>
    </w:p>
    <w:p w14:paraId="26674B9A" w14:textId="77777777" w:rsidR="009B565E" w:rsidRPr="00971550" w:rsidRDefault="009B565E" w:rsidP="00175E1F">
      <w:pPr>
        <w:pStyle w:val="Default"/>
        <w:keepNext/>
        <w:keepLines/>
        <w:spacing w:line="271" w:lineRule="auto"/>
        <w:jc w:val="both"/>
        <w:rPr>
          <w:rFonts w:ascii="Garamond" w:hAnsi="Garamond"/>
          <w:color w:val="auto"/>
        </w:rPr>
      </w:pPr>
    </w:p>
    <w:p w14:paraId="63CC1182" w14:textId="19B47848" w:rsidR="009B565E" w:rsidRPr="00971550" w:rsidRDefault="009B565E" w:rsidP="00175E1F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</w:rPr>
      </w:pPr>
      <w:r w:rsidRPr="00971550">
        <w:rPr>
          <w:rFonts w:ascii="Garamond" w:hAnsi="Garamond"/>
        </w:rPr>
        <w:t>Obstarávateľská organizácia predpokladá zadávanie konkrétnych zákaziek v rámci DNS v</w:t>
      </w:r>
      <w:r w:rsidR="00781C6B">
        <w:rPr>
          <w:rFonts w:ascii="Garamond" w:hAnsi="Garamond"/>
        </w:rPr>
        <w:t> </w:t>
      </w:r>
      <w:r w:rsidRPr="00971550">
        <w:rPr>
          <w:rFonts w:ascii="Garamond" w:hAnsi="Garamond"/>
        </w:rPr>
        <w:t>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26C89BC5" w14:textId="77777777" w:rsidR="009B565E" w:rsidRPr="00971550" w:rsidRDefault="009B565E" w:rsidP="00175E1F">
      <w:pPr>
        <w:pStyle w:val="Default"/>
        <w:keepNext/>
        <w:keepLines/>
        <w:spacing w:line="271" w:lineRule="auto"/>
        <w:ind w:left="426"/>
        <w:jc w:val="both"/>
        <w:rPr>
          <w:rFonts w:ascii="Garamond" w:hAnsi="Garamond"/>
          <w:color w:val="auto"/>
        </w:rPr>
      </w:pPr>
    </w:p>
    <w:p w14:paraId="3848B581" w14:textId="2450EF17" w:rsidR="00E379A4" w:rsidRDefault="009B565E" w:rsidP="00175E1F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</w:rPr>
      </w:pPr>
      <w:r w:rsidRPr="00971550">
        <w:rPr>
          <w:rFonts w:ascii="Garamond" w:hAnsi="Garamond"/>
        </w:rPr>
        <w:t xml:space="preserve">Výzva na predkladanie ponúk v rámci zadávania konkrétnej zákazky </w:t>
      </w:r>
      <w:r w:rsidR="00E379A4">
        <w:rPr>
          <w:rFonts w:ascii="Garamond" w:hAnsi="Garamond"/>
        </w:rPr>
        <w:t xml:space="preserve">bude </w:t>
      </w:r>
      <w:r w:rsidRPr="00971550">
        <w:rPr>
          <w:rFonts w:ascii="Garamond" w:hAnsi="Garamond"/>
        </w:rPr>
        <w:t>obsah</w:t>
      </w:r>
      <w:r w:rsidR="00E379A4">
        <w:rPr>
          <w:rFonts w:ascii="Garamond" w:hAnsi="Garamond"/>
        </w:rPr>
        <w:t>ovať</w:t>
      </w:r>
      <w:r w:rsidRPr="00971550">
        <w:rPr>
          <w:rFonts w:ascii="Garamond" w:hAnsi="Garamond"/>
        </w:rPr>
        <w:t xml:space="preserve"> </w:t>
      </w:r>
      <w:r w:rsidR="00E379A4">
        <w:rPr>
          <w:rFonts w:ascii="Garamond" w:hAnsi="Garamond"/>
        </w:rPr>
        <w:t>potrebné informácie ku konkrétnym požadovaným službám/projekčným prácam.</w:t>
      </w:r>
    </w:p>
    <w:p w14:paraId="5867EE81" w14:textId="77777777" w:rsidR="00E379A4" w:rsidRDefault="00E379A4" w:rsidP="00175E1F">
      <w:pPr>
        <w:pStyle w:val="Odsekzoznamu"/>
        <w:keepNext/>
        <w:keepLines/>
        <w:rPr>
          <w:rFonts w:ascii="Garamond" w:hAnsi="Garamond"/>
        </w:rPr>
      </w:pPr>
    </w:p>
    <w:p w14:paraId="28F7837C" w14:textId="029C7B4A" w:rsidR="009B565E" w:rsidRDefault="009B565E" w:rsidP="00175E1F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  <w:r w:rsidRPr="00DC2584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 xml:space="preserve">V prípade, že si to bude zadávanie konkrétnej zákazky vyžadovať, súčasťou výzvy na predkladanie ponúk budú aj požiadavky na preukázanie odborných certifikátov, oprávnení na vykonávanie štátom regulovaných </w:t>
      </w:r>
      <w:r w:rsidR="00DC2584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činností</w:t>
      </w:r>
      <w:r w:rsidRPr="00DC2584">
        <w:rPr>
          <w:rFonts w:ascii="Garamond" w:eastAsiaTheme="minorHAnsi" w:hAnsi="Garamond" w:cs="Calibri"/>
          <w:b/>
          <w:bCs/>
          <w:color w:val="000000"/>
          <w:sz w:val="24"/>
          <w:szCs w:val="24"/>
          <w:lang w:eastAsia="en-US"/>
        </w:rPr>
        <w:t>, prípadne iných nevyhnutných dokladov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potrebných na to, aby sa obstarávateľská organizácia uistila, že predmet zákazky bude dodaný v požadovanej kvalite v súlade s platnými právnymi predpismi</w:t>
      </w:r>
      <w:r w:rsidR="0022077A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.</w:t>
      </w:r>
      <w:r w:rsidRPr="00971550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 xml:space="preserve"> </w:t>
      </w:r>
    </w:p>
    <w:p w14:paraId="63046BE6" w14:textId="77777777" w:rsidR="00E379A4" w:rsidRPr="00E379A4" w:rsidRDefault="00E379A4" w:rsidP="00175E1F">
      <w:pPr>
        <w:pStyle w:val="Odsekzoznamu"/>
        <w:keepNext/>
        <w:keepLines/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</w:pPr>
    </w:p>
    <w:p w14:paraId="453AC1B0" w14:textId="632F51E4" w:rsidR="009B565E" w:rsidRPr="008D0130" w:rsidRDefault="00E379A4" w:rsidP="00175E1F">
      <w:pPr>
        <w:pStyle w:val="Odsekzoznamu"/>
        <w:keepNext/>
        <w:keepLines/>
        <w:numPr>
          <w:ilvl w:val="0"/>
          <w:numId w:val="36"/>
        </w:numPr>
        <w:jc w:val="both"/>
        <w:rPr>
          <w:rFonts w:ascii="Garamond" w:eastAsia="Calibri" w:hAnsi="Garamond" w:cs="Arial"/>
          <w:color w:val="000000"/>
          <w:sz w:val="32"/>
          <w:szCs w:val="24"/>
          <w:lang w:eastAsia="en-US"/>
        </w:rPr>
      </w:pPr>
      <w:r>
        <w:rPr>
          <w:rFonts w:ascii="Garamond" w:eastAsia="Microsoft Sans Serif" w:hAnsi="Garamond"/>
          <w:sz w:val="24"/>
        </w:rPr>
        <w:t xml:space="preserve">Obstarávateľská organizácia </w:t>
      </w:r>
      <w:r w:rsidR="009128AA">
        <w:rPr>
          <w:rFonts w:ascii="Garamond" w:eastAsia="Microsoft Sans Serif" w:hAnsi="Garamond"/>
          <w:sz w:val="24"/>
        </w:rPr>
        <w:t>bude pred podpisom zmluvy požadovať</w:t>
      </w:r>
      <w:r w:rsidR="009128AA" w:rsidRPr="009128AA">
        <w:rPr>
          <w:rFonts w:ascii="Garamond" w:eastAsia="Microsoft Sans Serif" w:hAnsi="Garamond"/>
          <w:sz w:val="24"/>
        </w:rPr>
        <w:t xml:space="preserve"> </w:t>
      </w:r>
      <w:r w:rsidR="009128AA" w:rsidRPr="008D0130">
        <w:rPr>
          <w:rFonts w:ascii="Garamond" w:eastAsia="Microsoft Sans Serif" w:hAnsi="Garamond"/>
          <w:sz w:val="24"/>
        </w:rPr>
        <w:t>splnen</w:t>
      </w:r>
      <w:r w:rsidR="009128AA">
        <w:rPr>
          <w:rFonts w:ascii="Garamond" w:eastAsia="Microsoft Sans Serif" w:hAnsi="Garamond"/>
          <w:sz w:val="24"/>
        </w:rPr>
        <w:t>ie</w:t>
      </w:r>
      <w:r w:rsidR="009128AA" w:rsidRPr="008D0130">
        <w:rPr>
          <w:rFonts w:ascii="Garamond" w:eastAsia="Microsoft Sans Serif" w:hAnsi="Garamond"/>
          <w:sz w:val="24"/>
        </w:rPr>
        <w:t xml:space="preserve"> povinnos</w:t>
      </w:r>
      <w:r w:rsidR="009128AA">
        <w:rPr>
          <w:rFonts w:ascii="Garamond" w:eastAsia="Microsoft Sans Serif" w:hAnsi="Garamond"/>
          <w:sz w:val="24"/>
        </w:rPr>
        <w:t>ti</w:t>
      </w:r>
      <w:r w:rsidR="009128AA" w:rsidRPr="008D0130">
        <w:rPr>
          <w:rFonts w:ascii="Garamond" w:eastAsia="Microsoft Sans Serif" w:hAnsi="Garamond"/>
          <w:sz w:val="24"/>
        </w:rPr>
        <w:t xml:space="preserve"> v</w:t>
      </w:r>
      <w:r w:rsidR="00781C6B">
        <w:rPr>
          <w:rFonts w:ascii="Garamond" w:eastAsia="Microsoft Sans Serif" w:hAnsi="Garamond"/>
          <w:sz w:val="24"/>
        </w:rPr>
        <w:t> </w:t>
      </w:r>
      <w:r w:rsidR="009128AA" w:rsidRPr="008D0130">
        <w:rPr>
          <w:rFonts w:ascii="Garamond" w:eastAsia="Microsoft Sans Serif" w:hAnsi="Garamond"/>
          <w:sz w:val="24"/>
        </w:rPr>
        <w:t>súlade so zákonom č.</w:t>
      </w:r>
      <w:r w:rsidR="009128AA">
        <w:rPr>
          <w:rFonts w:ascii="Garamond" w:eastAsia="Microsoft Sans Serif" w:hAnsi="Garamond"/>
          <w:sz w:val="24"/>
        </w:rPr>
        <w:t> </w:t>
      </w:r>
      <w:r w:rsidR="009128AA" w:rsidRPr="008D0130">
        <w:rPr>
          <w:rFonts w:ascii="Garamond" w:eastAsia="Microsoft Sans Serif" w:hAnsi="Garamond"/>
          <w:sz w:val="24"/>
        </w:rPr>
        <w:t>315/2016 Z. z. o registri partnerov verejného sektora</w:t>
      </w:r>
      <w:r w:rsidR="009128AA">
        <w:rPr>
          <w:rFonts w:ascii="Garamond" w:eastAsia="Microsoft Sans Serif" w:hAnsi="Garamond"/>
          <w:sz w:val="24"/>
        </w:rPr>
        <w:t xml:space="preserve">. </w:t>
      </w:r>
      <w:r w:rsidR="009B565E" w:rsidRPr="008D0130">
        <w:rPr>
          <w:rFonts w:ascii="Garamond" w:eastAsia="Microsoft Sans Serif" w:hAnsi="Garamond"/>
          <w:sz w:val="24"/>
        </w:rPr>
        <w:t>V prípade, že úspešný uchádzač pred podpisom zmluvy v lehote do 10 pracovných dní odo dňa uplynutia lehoty podľa § 56 ods. 4 až 6 zákona č. 343/2015 Z. z. o verejnom obstarávaní a o zmene a doplnení niektorých zákonov v znení neskorších predpisov (ďalej len „</w:t>
      </w:r>
      <w:r w:rsidR="009B565E" w:rsidRPr="008D0130">
        <w:rPr>
          <w:rFonts w:ascii="Garamond" w:eastAsia="Microsoft Sans Serif" w:hAnsi="Garamond"/>
          <w:b/>
          <w:bCs/>
          <w:sz w:val="24"/>
        </w:rPr>
        <w:t>ZVO</w:t>
      </w:r>
      <w:r w:rsidR="009B565E" w:rsidRPr="008D0130">
        <w:rPr>
          <w:rFonts w:ascii="Garamond" w:eastAsia="Microsoft Sans Serif" w:hAnsi="Garamond"/>
          <w:sz w:val="24"/>
        </w:rPr>
        <w:t>“), ak bol na uzavretie zmluvy písomne vyzvaný, nepredloží doklady a/alebo dokumenty uvedené v bode 8, resp. nebude mať splnenú povinnosť v súlade so zákonom č.</w:t>
      </w:r>
      <w:r>
        <w:rPr>
          <w:rFonts w:ascii="Garamond" w:eastAsia="Microsoft Sans Serif" w:hAnsi="Garamond"/>
          <w:sz w:val="24"/>
        </w:rPr>
        <w:t> </w:t>
      </w:r>
      <w:r w:rsidR="009B565E" w:rsidRPr="008D0130">
        <w:rPr>
          <w:rFonts w:ascii="Garamond" w:eastAsia="Microsoft Sans Serif" w:hAnsi="Garamond"/>
          <w:sz w:val="24"/>
        </w:rPr>
        <w:t>315/2016 Z. z. o registri partnerov verejného sektora a o zmene a doplnení niektorých zákonov v znení neskorších predpisov, obstarávateľská organizácia to bude považovať za neposkytnutie riadnej súčinnosti a bude postupovať spôsobom podľa ZVO.</w:t>
      </w:r>
    </w:p>
    <w:p w14:paraId="64B5CE56" w14:textId="2DB9A7B0" w:rsidR="009B565E" w:rsidRDefault="009B565E" w:rsidP="00175E1F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4662DABC" w14:textId="33136DCC" w:rsidR="009B565E" w:rsidRPr="00E02B49" w:rsidRDefault="00E02B49" w:rsidP="00E02B49">
      <w:pPr>
        <w:keepNext/>
        <w:keepLines/>
        <w:jc w:val="center"/>
        <w:rPr>
          <w:b/>
          <w:sz w:val="20"/>
          <w:szCs w:val="20"/>
        </w:rPr>
      </w:pPr>
      <w:r w:rsidRPr="00E02B49">
        <w:rPr>
          <w:b/>
          <w:sz w:val="20"/>
          <w:szCs w:val="20"/>
        </w:rPr>
        <w:t>*****</w:t>
      </w:r>
    </w:p>
    <w:p w14:paraId="76FEAAC5" w14:textId="77777777" w:rsidR="009B565E" w:rsidRDefault="009B565E" w:rsidP="00175E1F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4174F61F" w14:textId="3F12D349" w:rsidR="009B565E" w:rsidRDefault="009B565E" w:rsidP="00175E1F">
      <w:pPr>
        <w:keepNext/>
        <w:keepLines/>
        <w:rPr>
          <w:b/>
          <w:color w:val="C00000"/>
          <w:sz w:val="20"/>
          <w:szCs w:val="20"/>
          <w:u w:val="single"/>
        </w:rPr>
      </w:pPr>
    </w:p>
    <w:sectPr w:rsidR="009B565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B4E31" w14:textId="77777777" w:rsidR="00706435" w:rsidRDefault="00706435" w:rsidP="00DB1DE3">
      <w:r>
        <w:separator/>
      </w:r>
    </w:p>
  </w:endnote>
  <w:endnote w:type="continuationSeparator" w:id="0">
    <w:p w14:paraId="02AB5349" w14:textId="77777777" w:rsidR="00706435" w:rsidRDefault="00706435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787447"/>
      <w:docPartObj>
        <w:docPartGallery w:val="Page Numbers (Bottom of Page)"/>
        <w:docPartUnique/>
      </w:docPartObj>
    </w:sdtPr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526F">
          <w:t>2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35E04" w14:textId="77777777" w:rsidR="00706435" w:rsidRDefault="00706435" w:rsidP="00DB1DE3">
      <w:r>
        <w:separator/>
      </w:r>
    </w:p>
  </w:footnote>
  <w:footnote w:type="continuationSeparator" w:id="0">
    <w:p w14:paraId="4BA47954" w14:textId="77777777" w:rsidR="00706435" w:rsidRDefault="00706435" w:rsidP="00DB1D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548A3"/>
    <w:multiLevelType w:val="multilevel"/>
    <w:tmpl w:val="525E7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2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153514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2255481">
    <w:abstractNumId w:val="32"/>
  </w:num>
  <w:num w:numId="3" w16cid:durableId="1691763477">
    <w:abstractNumId w:val="12"/>
  </w:num>
  <w:num w:numId="4" w16cid:durableId="515995529">
    <w:abstractNumId w:val="29"/>
  </w:num>
  <w:num w:numId="5" w16cid:durableId="650793208">
    <w:abstractNumId w:val="4"/>
  </w:num>
  <w:num w:numId="6" w16cid:durableId="1354921659">
    <w:abstractNumId w:val="30"/>
  </w:num>
  <w:num w:numId="7" w16cid:durableId="889413854">
    <w:abstractNumId w:val="9"/>
  </w:num>
  <w:num w:numId="8" w16cid:durableId="1071385088">
    <w:abstractNumId w:val="13"/>
  </w:num>
  <w:num w:numId="9" w16cid:durableId="1291396209">
    <w:abstractNumId w:val="11"/>
  </w:num>
  <w:num w:numId="10" w16cid:durableId="940839883">
    <w:abstractNumId w:val="31"/>
  </w:num>
  <w:num w:numId="11" w16cid:durableId="591398222">
    <w:abstractNumId w:val="5"/>
  </w:num>
  <w:num w:numId="12" w16cid:durableId="126362987">
    <w:abstractNumId w:val="14"/>
  </w:num>
  <w:num w:numId="13" w16cid:durableId="2102294485">
    <w:abstractNumId w:val="0"/>
  </w:num>
  <w:num w:numId="14" w16cid:durableId="1814322348">
    <w:abstractNumId w:val="15"/>
  </w:num>
  <w:num w:numId="15" w16cid:durableId="1287004475">
    <w:abstractNumId w:val="7"/>
  </w:num>
  <w:num w:numId="16" w16cid:durableId="1008748934">
    <w:abstractNumId w:val="20"/>
  </w:num>
  <w:num w:numId="17" w16cid:durableId="168328617">
    <w:abstractNumId w:val="10"/>
  </w:num>
  <w:num w:numId="18" w16cid:durableId="452328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7704322">
    <w:abstractNumId w:val="16"/>
  </w:num>
  <w:num w:numId="20" w16cid:durableId="891960059">
    <w:abstractNumId w:val="21"/>
  </w:num>
  <w:num w:numId="21" w16cid:durableId="1926572989">
    <w:abstractNumId w:val="22"/>
  </w:num>
  <w:num w:numId="22" w16cid:durableId="113789061">
    <w:abstractNumId w:val="32"/>
  </w:num>
  <w:num w:numId="23" w16cid:durableId="79733348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19468993">
    <w:abstractNumId w:val="4"/>
  </w:num>
  <w:num w:numId="25" w16cid:durableId="2009019723">
    <w:abstractNumId w:val="29"/>
  </w:num>
  <w:num w:numId="26" w16cid:durableId="1063717199">
    <w:abstractNumId w:val="1"/>
  </w:num>
  <w:num w:numId="27" w16cid:durableId="1917739669">
    <w:abstractNumId w:val="19"/>
  </w:num>
  <w:num w:numId="28" w16cid:durableId="1558855045">
    <w:abstractNumId w:val="2"/>
  </w:num>
  <w:num w:numId="29" w16cid:durableId="963999764">
    <w:abstractNumId w:val="28"/>
  </w:num>
  <w:num w:numId="30" w16cid:durableId="128060508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99685972">
    <w:abstractNumId w:val="6"/>
  </w:num>
  <w:num w:numId="32" w16cid:durableId="2077697865">
    <w:abstractNumId w:val="3"/>
  </w:num>
  <w:num w:numId="33" w16cid:durableId="1655640307">
    <w:abstractNumId w:val="8"/>
  </w:num>
  <w:num w:numId="34" w16cid:durableId="2047100438">
    <w:abstractNumId w:val="17"/>
  </w:num>
  <w:num w:numId="35" w16cid:durableId="1344240170">
    <w:abstractNumId w:val="27"/>
  </w:num>
  <w:num w:numId="36" w16cid:durableId="871110021">
    <w:abstractNumId w:val="23"/>
  </w:num>
  <w:num w:numId="37" w16cid:durableId="1976987295">
    <w:abstractNumId w:val="24"/>
  </w:num>
  <w:num w:numId="38" w16cid:durableId="1639990596">
    <w:abstractNumId w:val="26"/>
  </w:num>
  <w:num w:numId="39" w16cid:durableId="14998863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30515"/>
    <w:rsid w:val="0003635A"/>
    <w:rsid w:val="000407C4"/>
    <w:rsid w:val="00055999"/>
    <w:rsid w:val="00056A2D"/>
    <w:rsid w:val="00083593"/>
    <w:rsid w:val="00087338"/>
    <w:rsid w:val="000958A9"/>
    <w:rsid w:val="000A144B"/>
    <w:rsid w:val="000C75E6"/>
    <w:rsid w:val="000D0A83"/>
    <w:rsid w:val="000E0D97"/>
    <w:rsid w:val="000F3341"/>
    <w:rsid w:val="00105228"/>
    <w:rsid w:val="00140A50"/>
    <w:rsid w:val="0016385C"/>
    <w:rsid w:val="00175E1F"/>
    <w:rsid w:val="001764D9"/>
    <w:rsid w:val="0022077A"/>
    <w:rsid w:val="00274572"/>
    <w:rsid w:val="002914CA"/>
    <w:rsid w:val="00291AEC"/>
    <w:rsid w:val="002B14EE"/>
    <w:rsid w:val="002D1A12"/>
    <w:rsid w:val="00307CEE"/>
    <w:rsid w:val="0031526F"/>
    <w:rsid w:val="00351263"/>
    <w:rsid w:val="003A5F6D"/>
    <w:rsid w:val="003C1E14"/>
    <w:rsid w:val="00416FBF"/>
    <w:rsid w:val="004260DC"/>
    <w:rsid w:val="004804C7"/>
    <w:rsid w:val="004A516E"/>
    <w:rsid w:val="004F2110"/>
    <w:rsid w:val="00511320"/>
    <w:rsid w:val="00514542"/>
    <w:rsid w:val="005158B4"/>
    <w:rsid w:val="005510A1"/>
    <w:rsid w:val="005D244A"/>
    <w:rsid w:val="005D2FD2"/>
    <w:rsid w:val="005E356F"/>
    <w:rsid w:val="005E5FC1"/>
    <w:rsid w:val="00682566"/>
    <w:rsid w:val="006857CC"/>
    <w:rsid w:val="00696E5E"/>
    <w:rsid w:val="006B2640"/>
    <w:rsid w:val="006C163E"/>
    <w:rsid w:val="006C2204"/>
    <w:rsid w:val="006E2C61"/>
    <w:rsid w:val="00706435"/>
    <w:rsid w:val="00717C3B"/>
    <w:rsid w:val="00764CDB"/>
    <w:rsid w:val="00780BD2"/>
    <w:rsid w:val="00781C6B"/>
    <w:rsid w:val="007E1E79"/>
    <w:rsid w:val="007E7AD7"/>
    <w:rsid w:val="007F3527"/>
    <w:rsid w:val="007F446D"/>
    <w:rsid w:val="007F7531"/>
    <w:rsid w:val="0081433D"/>
    <w:rsid w:val="008464EE"/>
    <w:rsid w:val="00853026"/>
    <w:rsid w:val="00877016"/>
    <w:rsid w:val="00886CA0"/>
    <w:rsid w:val="008B0389"/>
    <w:rsid w:val="009128AA"/>
    <w:rsid w:val="00914B9C"/>
    <w:rsid w:val="009375BE"/>
    <w:rsid w:val="0095255E"/>
    <w:rsid w:val="009545E3"/>
    <w:rsid w:val="009B565E"/>
    <w:rsid w:val="009C40AB"/>
    <w:rsid w:val="009D510F"/>
    <w:rsid w:val="00A063CF"/>
    <w:rsid w:val="00A4386E"/>
    <w:rsid w:val="00A73177"/>
    <w:rsid w:val="00AA0967"/>
    <w:rsid w:val="00AA3DA6"/>
    <w:rsid w:val="00AE0B16"/>
    <w:rsid w:val="00B6025E"/>
    <w:rsid w:val="00B969D7"/>
    <w:rsid w:val="00BB4D20"/>
    <w:rsid w:val="00BC72AF"/>
    <w:rsid w:val="00C124D5"/>
    <w:rsid w:val="00C21DD6"/>
    <w:rsid w:val="00C30108"/>
    <w:rsid w:val="00C306A1"/>
    <w:rsid w:val="00CB00BE"/>
    <w:rsid w:val="00CD3868"/>
    <w:rsid w:val="00D07226"/>
    <w:rsid w:val="00D7173F"/>
    <w:rsid w:val="00D91749"/>
    <w:rsid w:val="00DA7144"/>
    <w:rsid w:val="00DB1DE3"/>
    <w:rsid w:val="00DC2584"/>
    <w:rsid w:val="00DD545D"/>
    <w:rsid w:val="00DD7E1D"/>
    <w:rsid w:val="00DF24E6"/>
    <w:rsid w:val="00E02B49"/>
    <w:rsid w:val="00E379A4"/>
    <w:rsid w:val="00E73F32"/>
    <w:rsid w:val="00F059BE"/>
    <w:rsid w:val="00F37E8C"/>
    <w:rsid w:val="00F4750D"/>
    <w:rsid w:val="00F54C7B"/>
    <w:rsid w:val="00F9000C"/>
    <w:rsid w:val="00F91D38"/>
    <w:rsid w:val="00F9322B"/>
    <w:rsid w:val="00FB7272"/>
    <w:rsid w:val="00FD6CB6"/>
    <w:rsid w:val="00FE2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  <w:noProof w:val="0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1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noProof w:val="0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noProof w:val="0"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2584"/>
    <w:rPr>
      <w:rFonts w:asciiTheme="minorHAnsi" w:eastAsiaTheme="minorHAnsi" w:hAnsiTheme="minorHAnsi" w:cstheme="minorBidi"/>
      <w:noProof w:val="0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25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864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2022-06-15T10:10:00Z</dcterms:created>
  <dcterms:modified xsi:type="dcterms:W3CDTF">2023-08-21T10:40:00Z</dcterms:modified>
</cp:coreProperties>
</file>