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CC606" w14:textId="77777777" w:rsidR="00457A78" w:rsidRPr="0089352C" w:rsidRDefault="00457A78" w:rsidP="009A433A">
      <w:pPr>
        <w:jc w:val="right"/>
      </w:pPr>
      <w:r w:rsidRPr="0089352C">
        <w:t>Príloha č. 3 Výzvy - Návrh Zmluvy</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Zmluva č. XXX</w:t>
      </w:r>
    </w:p>
    <w:p w14:paraId="542AB3DF" w14:textId="77777777" w:rsidR="00457A78" w:rsidRPr="0089352C" w:rsidRDefault="00457A78" w:rsidP="009A433A">
      <w:pPr>
        <w:pStyle w:val="Nadpis2"/>
      </w:pPr>
      <w:r w:rsidRPr="0089352C">
        <w:t>o dodávke plynu</w:t>
      </w:r>
    </w:p>
    <w:p w14:paraId="2CE95642" w14:textId="6C59C5C0"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009915FA">
        <w:br/>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77777777" w:rsidR="00457A78" w:rsidRPr="0089352C" w:rsidRDefault="00457A78" w:rsidP="00457A78">
      <w:r w:rsidRPr="0089352C">
        <w:t>medzi Zmluvnými stranami:</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73765961" w:rsidR="00457A78" w:rsidRPr="0089352C" w:rsidRDefault="00BC6743" w:rsidP="009A433A">
            <w:pPr>
              <w:adjustRightInd w:val="0"/>
              <w:spacing w:before="60" w:after="60"/>
            </w:pPr>
            <w:r>
              <w:t>Horská záchranná služba</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0F74E617" w:rsidR="00457A78" w:rsidRPr="0089352C" w:rsidRDefault="00BC6743" w:rsidP="009A433A">
            <w:pPr>
              <w:adjustRightInd w:val="0"/>
              <w:spacing w:before="60" w:after="60"/>
            </w:pPr>
            <w:r>
              <w:t>Horný Smokovec 17052</w:t>
            </w:r>
            <w:r w:rsidR="0030610A">
              <w:t>, 062 01 Vysoké Tatry</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4634F2E0" w:rsidR="00F9278B" w:rsidRPr="0089352C" w:rsidRDefault="00BC6743" w:rsidP="009A433A">
            <w:pPr>
              <w:adjustRightInd w:val="0"/>
              <w:spacing w:before="60" w:after="60"/>
            </w:pPr>
            <w:r>
              <w:t xml:space="preserve">plk. Mgr. Marek </w:t>
            </w:r>
            <w:proofErr w:type="spellStart"/>
            <w:r>
              <w:t>Biskupič</w:t>
            </w:r>
            <w:proofErr w:type="spellEnd"/>
            <w:r>
              <w:t xml:space="preserve">, </w:t>
            </w:r>
            <w:proofErr w:type="spellStart"/>
            <w:r>
              <w:t>Ph.D</w:t>
            </w:r>
            <w:proofErr w:type="spellEnd"/>
            <w:r>
              <w:t>.</w:t>
            </w:r>
            <w:r w:rsidR="00DD1892">
              <w:t xml:space="preserve">, </w:t>
            </w:r>
            <w:r w:rsidR="00DD1892" w:rsidRPr="00303885">
              <w:t>riaditeľ</w:t>
            </w:r>
          </w:p>
        </w:tc>
      </w:tr>
      <w:tr w:rsidR="00457A78" w:rsidRPr="0089352C" w14:paraId="27165E00" w14:textId="77777777" w:rsidTr="00F9278B">
        <w:tc>
          <w:tcPr>
            <w:tcW w:w="2835" w:type="dxa"/>
            <w:shd w:val="clear" w:color="auto" w:fill="auto"/>
          </w:tcPr>
          <w:p w14:paraId="46C5572D" w14:textId="77777777" w:rsidR="00457A78" w:rsidRDefault="00457A78" w:rsidP="00130D66">
            <w:pPr>
              <w:tabs>
                <w:tab w:val="left" w:pos="279"/>
              </w:tabs>
              <w:adjustRightInd w:val="0"/>
              <w:spacing w:before="60" w:after="60"/>
            </w:pPr>
            <w:r w:rsidRPr="0089352C">
              <w:t>IČO:</w:t>
            </w:r>
          </w:p>
          <w:p w14:paraId="2C96EB88" w14:textId="5F119244" w:rsidR="00130D66" w:rsidRPr="0089352C" w:rsidRDefault="00130D66" w:rsidP="00130D66">
            <w:pPr>
              <w:tabs>
                <w:tab w:val="left" w:pos="279"/>
              </w:tabs>
              <w:adjustRightInd w:val="0"/>
              <w:spacing w:before="60" w:after="60"/>
            </w:pPr>
            <w:r>
              <w:t>DIČ:</w:t>
            </w:r>
          </w:p>
        </w:tc>
        <w:tc>
          <w:tcPr>
            <w:tcW w:w="6305" w:type="dxa"/>
            <w:shd w:val="clear" w:color="auto" w:fill="auto"/>
          </w:tcPr>
          <w:p w14:paraId="4DDAA95E" w14:textId="58A0586F" w:rsidR="00130D66" w:rsidRDefault="00BC6743" w:rsidP="00760048">
            <w:pPr>
              <w:adjustRightInd w:val="0"/>
              <w:spacing w:before="60" w:after="60"/>
            </w:pPr>
            <w:r w:rsidRPr="00BC6743">
              <w:t>37879693</w:t>
            </w:r>
          </w:p>
          <w:p w14:paraId="34D694C7" w14:textId="39ADCC33" w:rsidR="00130D66" w:rsidRPr="0089352C" w:rsidRDefault="00130D66" w:rsidP="00760048">
            <w:pPr>
              <w:adjustRightInd w:val="0"/>
              <w:spacing w:before="60" w:after="60"/>
            </w:pPr>
            <w:r>
              <w:t>2021707776</w:t>
            </w:r>
          </w:p>
        </w:tc>
      </w:tr>
      <w:tr w:rsidR="00457A78" w:rsidRPr="0089352C" w14:paraId="071A2B33" w14:textId="77777777" w:rsidTr="00F9278B">
        <w:tc>
          <w:tcPr>
            <w:tcW w:w="2835" w:type="dxa"/>
            <w:shd w:val="clear" w:color="auto" w:fill="auto"/>
          </w:tcPr>
          <w:p w14:paraId="263D299A" w14:textId="77777777" w:rsidR="00760048" w:rsidRDefault="00760048" w:rsidP="009A433A">
            <w:pPr>
              <w:adjustRightInd w:val="0"/>
              <w:spacing w:before="60" w:after="60"/>
            </w:pPr>
            <w:r w:rsidRPr="0089352C">
              <w:t>IČ DPH:</w:t>
            </w:r>
          </w:p>
          <w:p w14:paraId="2020F953" w14:textId="28CBE036" w:rsidR="000A1961" w:rsidRPr="0089352C" w:rsidRDefault="000A1961" w:rsidP="009A433A">
            <w:pPr>
              <w:adjustRightInd w:val="0"/>
              <w:spacing w:before="60" w:after="60"/>
            </w:pPr>
            <w:r>
              <w:t>Bankové spojenie:</w:t>
            </w:r>
          </w:p>
        </w:tc>
        <w:tc>
          <w:tcPr>
            <w:tcW w:w="6305" w:type="dxa"/>
            <w:shd w:val="clear" w:color="auto" w:fill="auto"/>
          </w:tcPr>
          <w:p w14:paraId="126D90F6" w14:textId="77777777" w:rsidR="00760048" w:rsidRDefault="00C55D41" w:rsidP="009A433A">
            <w:pPr>
              <w:adjustRightInd w:val="0"/>
              <w:spacing w:before="60" w:after="60"/>
            </w:pPr>
            <w:r>
              <w:t>n</w:t>
            </w:r>
            <w:r w:rsidR="00BC6743">
              <w:t>ie je plat</w:t>
            </w:r>
            <w:r>
              <w:t>iteľ</w:t>
            </w:r>
            <w:r w:rsidR="00BC6743">
              <w:t xml:space="preserve"> DPH</w:t>
            </w:r>
          </w:p>
          <w:p w14:paraId="2C099808" w14:textId="68CAF071" w:rsidR="000A1961" w:rsidRPr="0089352C" w:rsidRDefault="000A1961" w:rsidP="009A433A">
            <w:pPr>
              <w:adjustRightInd w:val="0"/>
              <w:spacing w:before="60" w:after="60"/>
            </w:pPr>
            <w:r>
              <w:t>Štátna pokladnica</w:t>
            </w:r>
          </w:p>
        </w:tc>
      </w:tr>
      <w:tr w:rsidR="00457A78" w:rsidRPr="0089352C" w14:paraId="382BF630" w14:textId="77777777" w:rsidTr="00F9278B">
        <w:tc>
          <w:tcPr>
            <w:tcW w:w="2835" w:type="dxa"/>
            <w:shd w:val="clear" w:color="auto" w:fill="auto"/>
          </w:tcPr>
          <w:p w14:paraId="11F7F129" w14:textId="255D7E43" w:rsidR="00457A78" w:rsidRPr="0089352C" w:rsidRDefault="000A1961" w:rsidP="009A433A">
            <w:pPr>
              <w:adjustRightInd w:val="0"/>
              <w:spacing w:before="60" w:after="60"/>
            </w:pPr>
            <w:r>
              <w:t>IBAN</w:t>
            </w:r>
            <w:r w:rsidR="00457A78" w:rsidRPr="0089352C">
              <w:t>:</w:t>
            </w:r>
          </w:p>
        </w:tc>
        <w:tc>
          <w:tcPr>
            <w:tcW w:w="6305" w:type="dxa"/>
            <w:shd w:val="clear" w:color="auto" w:fill="auto"/>
          </w:tcPr>
          <w:p w14:paraId="637A434E" w14:textId="77777777" w:rsidR="00457A78" w:rsidRDefault="00C932E9" w:rsidP="00BC6743">
            <w:pPr>
              <w:adjustRightInd w:val="0"/>
              <w:spacing w:before="60" w:after="60"/>
            </w:pPr>
            <w:r w:rsidRPr="0089352C">
              <w:t>SK</w:t>
            </w:r>
            <w:r w:rsidR="00BC6743">
              <w:t>90 8180 0000 0070 0031 2794</w:t>
            </w:r>
          </w:p>
          <w:p w14:paraId="6FEB7D1F" w14:textId="18CF4AEE" w:rsidR="00DD1892" w:rsidRPr="0089352C" w:rsidRDefault="00DD1892" w:rsidP="00BC6743">
            <w:pPr>
              <w:adjustRightInd w:val="0"/>
              <w:spacing w:before="60" w:after="60"/>
            </w:pPr>
          </w:p>
        </w:tc>
      </w:tr>
    </w:tbl>
    <w:p w14:paraId="099066E2" w14:textId="32B7DCD5" w:rsidR="00457A78" w:rsidRDefault="00DD1892" w:rsidP="00457A78">
      <w:r>
        <w:t xml:space="preserve"> </w:t>
      </w:r>
      <w:r w:rsidRPr="00303885">
        <w:t>(ďalej len „</w:t>
      </w:r>
      <w:r w:rsidRPr="00303885">
        <w:rPr>
          <w:b/>
          <w:bCs/>
        </w:rPr>
        <w:t>Objednávateľ</w:t>
      </w:r>
      <w:r w:rsidRPr="00303885">
        <w:t>“)</w:t>
      </w:r>
    </w:p>
    <w:p w14:paraId="529F9D96" w14:textId="77777777" w:rsidR="006B3F6B" w:rsidRDefault="006B3F6B" w:rsidP="00457A78"/>
    <w:p w14:paraId="03C79E9B" w14:textId="77777777" w:rsidR="00457A78" w:rsidRPr="0089352C" w:rsidRDefault="00457A78" w:rsidP="00457A78">
      <w:r w:rsidRPr="0089352C">
        <w:t>a</w:t>
      </w:r>
    </w:p>
    <w:p w14:paraId="1C1C641F" w14:textId="77777777" w:rsidR="00457A78" w:rsidRPr="0089352C" w:rsidRDefault="00457A78" w:rsidP="00457A78"/>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53C1FB3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 xml:space="preserve">Sídlo: </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4681265" w14:textId="77777777" w:rsidTr="00881EA9">
        <w:trPr>
          <w:trHeight w:val="189"/>
        </w:trPr>
        <w:tc>
          <w:tcPr>
            <w:tcW w:w="2830" w:type="dxa"/>
            <w:shd w:val="clear" w:color="auto" w:fill="auto"/>
          </w:tcPr>
          <w:p w14:paraId="3989BDE9" w14:textId="2E3FCC52" w:rsidR="00457A78" w:rsidRPr="0089352C" w:rsidRDefault="00457A78" w:rsidP="00DE6879">
            <w:pPr>
              <w:tabs>
                <w:tab w:val="left" w:pos="2160"/>
                <w:tab w:val="left" w:pos="2880"/>
                <w:tab w:val="left" w:pos="4500"/>
              </w:tabs>
              <w:spacing w:before="60" w:after="60"/>
              <w:rPr>
                <w:lang w:eastAsia="cs-CZ"/>
              </w:rPr>
            </w:pPr>
            <w:r w:rsidRPr="0089352C">
              <w:rPr>
                <w:lang w:eastAsia="cs-CZ"/>
              </w:rPr>
              <w:t>V zastúpení:</w:t>
            </w:r>
          </w:p>
        </w:tc>
        <w:tc>
          <w:tcPr>
            <w:tcW w:w="6379" w:type="dxa"/>
          </w:tcPr>
          <w:p w14:paraId="74477533"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7894ED60" w14:textId="101F412B" w:rsidR="00457A78" w:rsidRDefault="00457A78" w:rsidP="009A433A">
            <w:pPr>
              <w:tabs>
                <w:tab w:val="left" w:pos="2160"/>
                <w:tab w:val="left" w:pos="2880"/>
                <w:tab w:val="left" w:pos="4500"/>
              </w:tabs>
              <w:spacing w:before="60" w:after="60"/>
              <w:rPr>
                <w:lang w:eastAsia="cs-CZ"/>
              </w:rPr>
            </w:pPr>
            <w:r w:rsidRPr="0089352C">
              <w:rPr>
                <w:lang w:eastAsia="cs-CZ"/>
              </w:rPr>
              <w:t>Zapísaný v:</w:t>
            </w:r>
          </w:p>
          <w:p w14:paraId="1A13B9B5" w14:textId="01C8193E" w:rsidR="00DD1892" w:rsidRDefault="00DD1892" w:rsidP="009A433A">
            <w:pPr>
              <w:tabs>
                <w:tab w:val="left" w:pos="2160"/>
                <w:tab w:val="left" w:pos="2880"/>
                <w:tab w:val="left" w:pos="4500"/>
              </w:tabs>
              <w:spacing w:before="60" w:after="60"/>
              <w:rPr>
                <w:lang w:eastAsia="cs-CZ"/>
              </w:rPr>
            </w:pPr>
          </w:p>
          <w:p w14:paraId="2DCE7058" w14:textId="61A88DA2" w:rsidR="00DD1892" w:rsidRPr="0089352C" w:rsidRDefault="00DD1892" w:rsidP="009A433A">
            <w:pPr>
              <w:tabs>
                <w:tab w:val="left" w:pos="2160"/>
                <w:tab w:val="left" w:pos="2880"/>
                <w:tab w:val="left" w:pos="4500"/>
              </w:tabs>
              <w:spacing w:before="60" w:after="60"/>
              <w:rPr>
                <w:lang w:eastAsia="sk-SK"/>
              </w:rPr>
            </w:pPr>
            <w:r w:rsidRPr="00303885">
              <w:rPr>
                <w:lang w:eastAsia="sk-SK"/>
              </w:rPr>
              <w:t>(ďalej len „</w:t>
            </w:r>
            <w:r w:rsidRPr="00303885">
              <w:rPr>
                <w:b/>
                <w:bCs/>
                <w:lang w:eastAsia="sk-SK"/>
              </w:rPr>
              <w:t>Poskytovateľ</w:t>
            </w:r>
            <w:r w:rsidRPr="00303885">
              <w:rPr>
                <w:lang w:eastAsia="sk-SK"/>
              </w:rPr>
              <w:t>“)</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13757F85" w14:textId="24D33C5A" w:rsidR="00457A78" w:rsidRPr="0089352C" w:rsidRDefault="00DD1892" w:rsidP="00457A78">
      <w:r>
        <w:t xml:space="preserve">  </w:t>
      </w:r>
      <w:r w:rsidR="00457A78" w:rsidRPr="0089352C">
        <w:t>(ďalej len „</w:t>
      </w:r>
      <w:r w:rsidR="00457A78" w:rsidRPr="0089352C">
        <w:rPr>
          <w:b/>
          <w:bCs/>
        </w:rPr>
        <w:t>Poskytovateľ</w:t>
      </w:r>
      <w:r w:rsidR="00457A78" w:rsidRPr="0089352C">
        <w:t>“ a Objednávateľ a Poskytovateľ spolu ďalej ako „</w:t>
      </w:r>
      <w:r w:rsidR="00457A78" w:rsidRPr="0089352C">
        <w:rPr>
          <w:b/>
          <w:bCs/>
        </w:rPr>
        <w:t>Zmluvné strany</w:t>
      </w:r>
      <w:r w:rsidR="00457A78" w:rsidRPr="0089352C">
        <w:t>“).</w:t>
      </w:r>
    </w:p>
    <w:p w14:paraId="1DA9DF05" w14:textId="77777777" w:rsidR="00457A78" w:rsidRPr="0089352C" w:rsidRDefault="00457A78" w:rsidP="00457A78"/>
    <w:p w14:paraId="18DD8428" w14:textId="77777777" w:rsidR="00457A78" w:rsidRPr="0089352C" w:rsidRDefault="00457A78" w:rsidP="00457A78"/>
    <w:p w14:paraId="0058AB65" w14:textId="77777777" w:rsidR="009A433A" w:rsidRPr="0089352C" w:rsidRDefault="009A433A">
      <w:pPr>
        <w:widowControl/>
        <w:autoSpaceDE/>
        <w:autoSpaceDN/>
        <w:spacing w:before="0" w:after="0"/>
        <w:jc w:val="left"/>
        <w:rPr>
          <w:b/>
          <w:bCs/>
        </w:rPr>
      </w:pPr>
      <w:r w:rsidRPr="0089352C">
        <w:rPr>
          <w:b/>
          <w:bCs/>
        </w:rPr>
        <w:br w:type="page"/>
      </w:r>
    </w:p>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283EE69B" w:rsidR="00457A78" w:rsidRPr="0089352C" w:rsidRDefault="00956C40" w:rsidP="009A433A">
      <w:pPr>
        <w:pStyle w:val="Zoznam2"/>
      </w:pPr>
      <w:r w:rsidRPr="00F726BD">
        <w:t xml:space="preserve">Ministerstvo vnútra Slovenskej republiky ako Centrálna obstarávacia organizácia </w:t>
      </w:r>
      <w:r w:rsidR="00457A78" w:rsidRPr="00F726BD">
        <w:t>uskutočnil</w:t>
      </w:r>
      <w:r w:rsidRPr="00F726BD">
        <w:t>o</w:t>
      </w:r>
      <w:r w:rsidR="00457A78" w:rsidRPr="0089352C">
        <w:t xml:space="preserve"> užšiu súťaž </w:t>
      </w:r>
      <w:r w:rsidR="00444038">
        <w:br/>
      </w:r>
      <w:r w:rsidR="00457A78" w:rsidRPr="0089352C">
        <w:t>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457A78" w:rsidRPr="0089352C">
        <w:rPr>
          <w:b/>
        </w:rPr>
        <w:t>Verejné obstarávanie</w:t>
      </w:r>
      <w:r w:rsidR="00457A78" w:rsidRPr="0089352C">
        <w:t>“) podľa zák</w:t>
      </w:r>
      <w:r w:rsidR="00EA5F2E" w:rsidRPr="00F726BD">
        <w:t>ona</w:t>
      </w:r>
      <w:r w:rsidR="00457A78" w:rsidRPr="0089352C">
        <w:t xml:space="preserve"> č. 343/2015 Z.</w:t>
      </w:r>
      <w:r w:rsidR="00B45674">
        <w:t xml:space="preserve"> </w:t>
      </w:r>
      <w:r w:rsidR="00457A78" w:rsidRPr="0089352C">
        <w:t>z. o verejnom obstarávaní a o zmene a doplnení niektorých zákonov v znení neskorších predpisov (ďalej ako „</w:t>
      </w:r>
      <w:r w:rsidR="00457A78" w:rsidRPr="0089352C">
        <w:rPr>
          <w:b/>
        </w:rPr>
        <w:t>Zákon o verejnom obstarávaní</w:t>
      </w:r>
      <w:r w:rsidR="00457A78" w:rsidRPr="0089352C">
        <w:t>“). Súčasťou dokumentácie Verejného obstarávania bol opis predmetu zákazky (ďalej ako „</w:t>
      </w:r>
      <w:r w:rsidR="00457A78" w:rsidRPr="0089352C">
        <w:rPr>
          <w:b/>
        </w:rPr>
        <w:t>OPZ</w:t>
      </w:r>
      <w:r w:rsidR="00457A78" w:rsidRPr="0089352C">
        <w:t>“), ktorý tvorí Prílohu č. 1 tejto Zmluvy.</w:t>
      </w:r>
    </w:p>
    <w:p w14:paraId="34866225" w14:textId="3988E8F9" w:rsidR="00457A78" w:rsidRPr="0089352C" w:rsidRDefault="00457A78" w:rsidP="009A433A">
      <w:pPr>
        <w:pStyle w:val="Zoznam2"/>
      </w:pPr>
      <w:r w:rsidRPr="0089352C">
        <w:t xml:space="preserve">Verejné obstarávanie realizoval Objednávateľ v súlade s oznámením o vyhlásení verejného obstarávania a v súlade so súťažnými podkladmi aj pre tretie osoby, iných verejných obstarávateľov, ktorí sú špecifikovaní </w:t>
      </w:r>
      <w:r w:rsidR="0093119F">
        <w:br/>
      </w:r>
      <w:r w:rsidRPr="0089352C">
        <w:t xml:space="preserve">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2B54DE09"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xml:space="preserve">“), prevzatím zodpovednosti za Objednávateľa za odchýlku na Odberných miestach voči </w:t>
      </w:r>
      <w:proofErr w:type="spellStart"/>
      <w:r w:rsidRPr="0089352C">
        <w:t>zúčtovateľovi</w:t>
      </w:r>
      <w:proofErr w:type="spellEnd"/>
      <w:r w:rsidRPr="0089352C">
        <w:t xml:space="preserve">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w:t>
      </w:r>
      <w:r w:rsidR="00AD5962">
        <w:t>ánkom</w:t>
      </w:r>
      <w:r w:rsidRPr="0089352C">
        <w:t xml:space="preserve"> 4 tejto Zmluvy.</w:t>
      </w:r>
    </w:p>
    <w:p w14:paraId="55080D65" w14:textId="4A84FD9E" w:rsidR="00457A78" w:rsidRPr="0089352C" w:rsidRDefault="00457A78" w:rsidP="009A433A">
      <w:pPr>
        <w:pStyle w:val="Zoznam2"/>
      </w:pPr>
      <w:bookmarkStart w:id="0" w:name="_Hlk85125941"/>
      <w:r w:rsidRPr="0089352C">
        <w:t xml:space="preserve">Poskytovateľ zabezpečí komplexné Zmluvné plnenia súvisiace s pravidelnou bezpečnou, stabilnou a komplexnou dodávkou plynu do Odberných miest vrátane prevzatia zodpovednosti za odchýlky voči </w:t>
      </w:r>
      <w:proofErr w:type="spellStart"/>
      <w:r w:rsidRPr="0089352C">
        <w:t>zúčtovateľovi</w:t>
      </w:r>
      <w:proofErr w:type="spellEnd"/>
      <w:r w:rsidRPr="0089352C">
        <w:t xml:space="preserve"> odchýlok </w:t>
      </w:r>
      <w:r w:rsidR="001F15E3">
        <w:br/>
      </w:r>
      <w:r w:rsidRPr="0089352C">
        <w:t>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1" w:name="_Ref136979746"/>
      <w:bookmarkEnd w:id="0"/>
      <w:r w:rsidRPr="0089352C">
        <w:t>Poskytovateľ je povinný realizovať akékoľvek a všetky Zmluvné plnenia:</w:t>
      </w:r>
      <w:bookmarkEnd w:id="1"/>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5C6B07F3" w:rsidR="00457A78" w:rsidRPr="0089352C" w:rsidRDefault="00457A78" w:rsidP="009A433A">
      <w:pPr>
        <w:pStyle w:val="Zoznam3"/>
      </w:pPr>
      <w:r w:rsidRPr="0089352C">
        <w:t xml:space="preserve">súlade s príslušnými všeobecne záväznými právnymi predpismi platnými na území </w:t>
      </w:r>
      <w:r w:rsidR="00FB472F" w:rsidRPr="009F7FDC">
        <w:t>Slovenskej republiky</w:t>
      </w:r>
      <w:r w:rsidRPr="0089352C">
        <w:t>, a zároveň</w:t>
      </w:r>
    </w:p>
    <w:p w14:paraId="341CFBB4" w14:textId="77777777" w:rsidR="00457A78" w:rsidRPr="0089352C" w:rsidRDefault="00457A78" w:rsidP="009A433A">
      <w:pPr>
        <w:pStyle w:val="Zoznam3"/>
      </w:pPr>
      <w:r w:rsidRPr="0089352C">
        <w:t>podľa písomných pokynov Objednávateľa, a zároveň</w:t>
      </w:r>
    </w:p>
    <w:p w14:paraId="56F10A19" w14:textId="4B3B2200" w:rsidR="00457A78" w:rsidRPr="0089352C" w:rsidRDefault="00457A78" w:rsidP="009A433A">
      <w:pPr>
        <w:pStyle w:val="Zoznam3"/>
      </w:pPr>
      <w:r w:rsidRPr="0089352C">
        <w:t xml:space="preserve">v súlade so záujmami Objednávateľa, ktoré sú mu známe a/alebo ktoré mu vzhľadom na okolnosti </w:t>
      </w:r>
      <w:r w:rsidR="00BE6187">
        <w:br/>
      </w:r>
      <w:r w:rsidRPr="0089352C">
        <w:lastRenderedPageBreak/>
        <w:t xml:space="preserve">pri vynaložení všetkej odbornej starostlivosti mali byť známe, resp. ktoré mal Poskytovateľ poznať v súlade s príslušnými všeobecne záväznými právnymi predpismi platnými na území </w:t>
      </w:r>
      <w:r w:rsidR="00BE6187" w:rsidRPr="005F6EC2">
        <w:t>Slovenskej republiky</w:t>
      </w:r>
      <w:r w:rsidRPr="0089352C">
        <w:t>, a zároveň</w:t>
      </w:r>
    </w:p>
    <w:p w14:paraId="781D3586" w14:textId="060B8B67" w:rsidR="00457A78" w:rsidRPr="0089352C" w:rsidRDefault="00457A78" w:rsidP="009A433A">
      <w:pPr>
        <w:pStyle w:val="Zoznam3"/>
      </w:pPr>
      <w:r w:rsidRPr="0089352C">
        <w:t xml:space="preserve">s odbornou starostlivosťou, ktorú je možné od Poskytovateľa dôvodne očakávať, zachovávajúc štandardy </w:t>
      </w:r>
      <w:r w:rsidR="006D4D6F" w:rsidRPr="005F6EC2">
        <w:t>„</w:t>
      </w:r>
      <w:proofErr w:type="spellStart"/>
      <w:r w:rsidRPr="0089352C">
        <w:t>best</w:t>
      </w:r>
      <w:proofErr w:type="spellEnd"/>
      <w:r w:rsidRPr="0089352C">
        <w:t xml:space="preserve"> </w:t>
      </w:r>
      <w:proofErr w:type="spellStart"/>
      <w:r w:rsidRPr="0089352C">
        <w:t>practice</w:t>
      </w:r>
      <w:proofErr w:type="spellEnd"/>
      <w:r w:rsidR="006D4D6F" w:rsidRPr="005F6EC2">
        <w:t>“</w:t>
      </w:r>
      <w:r w:rsidRPr="0089352C">
        <w:t xml:space="preserv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2" w:name="_Ref136979748"/>
      <w:r w:rsidRPr="0089352C">
        <w:t>Poskytovateľ sa zaväzuje:</w:t>
      </w:r>
      <w:bookmarkEnd w:id="2"/>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6CF13966"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w:t>
      </w:r>
      <w:r w:rsidR="00032861" w:rsidRPr="0017449D">
        <w:t>í</w:t>
      </w:r>
      <w:r w:rsidRPr="0089352C">
        <w:t xml:space="preserve"> definovaných v OPZ a akýchkoľvek okolnostiach, ktoré môžu mať vplyv na zmenu alebo doplnenie alebo udelenie pokynov Objednávateľa voči Poskytovateľovi;</w:t>
      </w:r>
    </w:p>
    <w:p w14:paraId="74D21199" w14:textId="7844310C" w:rsidR="00457A78" w:rsidRPr="0089352C" w:rsidRDefault="00457A78" w:rsidP="009A433A">
      <w:pPr>
        <w:pStyle w:val="Zoznam3"/>
      </w:pPr>
      <w:r w:rsidRPr="0089352C">
        <w:t xml:space="preserve">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w:t>
      </w:r>
      <w:r w:rsidR="00032861">
        <w:br/>
      </w:r>
      <w:r w:rsidRPr="0089352C">
        <w:t>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69F87281" w:rsidR="00457A78" w:rsidRPr="0089352C" w:rsidRDefault="00457A78" w:rsidP="009A433A">
      <w:pPr>
        <w:pStyle w:val="Zoznam3"/>
      </w:pPr>
      <w:r w:rsidRPr="0089352C">
        <w:t xml:space="preserve">poskytovať plnenia definované v tejto Zmluve a OPZ nepretržite a bezodkladne, okrem prípadu prekážky charakteru vyššia moc. Pre účely tejto Zmluvy sa za vyššiu moc považujú udalosti, ktoré nie sú závislé </w:t>
      </w:r>
      <w:r w:rsidR="00706030">
        <w:br/>
      </w:r>
      <w:r w:rsidRPr="0089352C">
        <w:t xml:space="preserve">od konania </w:t>
      </w:r>
      <w:r w:rsidR="00114C38" w:rsidRPr="00E60495">
        <w:t>Z</w:t>
      </w:r>
      <w:r w:rsidRPr="00E60495">
        <w:t xml:space="preserve">mluvných strán, a ktoré nemôžu </w:t>
      </w:r>
      <w:r w:rsidR="003520A5" w:rsidRPr="00E60495">
        <w:t>Z</w:t>
      </w:r>
      <w:r w:rsidRPr="00E60495">
        <w:t>mluvné strany ani predvídať ani nijakým spôsobom priamo ovplyvniť, a to najmä: vojna, mobilizácia, povstanie</w:t>
      </w:r>
      <w:r w:rsidRPr="0089352C">
        <w:t xml:space="preserve">, živelné pohromy, požiare, embargo, karantény. </w:t>
      </w:r>
      <w:r w:rsidR="003809BE">
        <w:br/>
      </w:r>
      <w:r w:rsidRPr="0089352C">
        <w:t xml:space="preserve">Za vyššiu moc sa nepovažujú výpadky vo výrobe a nezískanie úradných povolení. V prípade ak by nastala okolnosť, ktorá je považovaná za prekážku charakteru vyššia moc podľa tejto Zmluvy, </w:t>
      </w:r>
      <w:r w:rsidR="003520A5">
        <w:br/>
      </w:r>
      <w:r w:rsidRPr="0089352C">
        <w:t xml:space="preserve">je Poskytovateľ povinný bezodkladne písomne informovať o tejto prekážke Objednávateľa, ak tak neučiní v lehote do piatich (5) kalendárnych dní odkedy mala prekážka nastať, nie je Poskytovateľ oprávnený </w:t>
      </w:r>
      <w:r w:rsidR="00427F47">
        <w:br/>
      </w:r>
      <w:r w:rsidRPr="0089352C">
        <w:t>sa existencie uvedenej prekážky dovolávať;</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32B3BED2" w:rsidR="00457A78" w:rsidRPr="0089352C" w:rsidRDefault="00CD4128" w:rsidP="009A433A">
      <w:pPr>
        <w:pStyle w:val="Zoznam3"/>
      </w:pPr>
      <w:r w:rsidRPr="00003BCC">
        <w:t>j</w:t>
      </w:r>
      <w:r w:rsidR="00457A78" w:rsidRPr="00003BCC">
        <w:t>e</w:t>
      </w:r>
      <w:r w:rsidR="00457A78" w:rsidRPr="0089352C">
        <w:t xml:space="preserve"> odborne spôsobilý poskytovať Zmluvné plnenia, súhlasí s rozsahom Zmluvného plnenia a bez výhrad súhlasí s dohodnutou cenou za Zmluvné plnenia podľa tejto Zmluvy;</w:t>
      </w:r>
    </w:p>
    <w:p w14:paraId="72E2A5C7" w14:textId="02481C05" w:rsidR="00457A78" w:rsidRPr="0089352C" w:rsidRDefault="00457A78" w:rsidP="009A433A">
      <w:pPr>
        <w:pStyle w:val="Zoznam3"/>
      </w:pPr>
      <w:r w:rsidRPr="0089352C">
        <w:t xml:space="preserve">má platné povolenie na podnikanie v energetike, ktoré </w:t>
      </w:r>
      <w:r w:rsidR="008F4217" w:rsidRPr="00003BCC">
        <w:t>P</w:t>
      </w:r>
      <w:r w:rsidRPr="00003BCC">
        <w:t>o</w:t>
      </w:r>
      <w:r w:rsidRPr="0089352C">
        <w:t xml:space="preserve">skytovateľa oprávňuje podnikať v oblasti dodávky plynu na území </w:t>
      </w:r>
      <w:r w:rsidR="00B8671D" w:rsidRPr="00003BCC">
        <w:t>Slovenskej republiky</w:t>
      </w:r>
      <w:r w:rsidR="00B8671D">
        <w:t xml:space="preserve"> </w:t>
      </w:r>
      <w:r w:rsidRPr="0089352C">
        <w:t>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6288F917" w:rsidR="00457A78" w:rsidRPr="0089352C" w:rsidRDefault="009A433A" w:rsidP="009A433A">
      <w:pPr>
        <w:pStyle w:val="Zoznam3"/>
      </w:pPr>
      <w:r w:rsidRPr="0089352C">
        <w:lastRenderedPageBreak/>
        <w:t>má s PDS</w:t>
      </w:r>
      <w:r w:rsidR="00457A78" w:rsidRPr="0089352C">
        <w:t xml:space="preserve"> uzatvorenú zmluvu o prístupe do distribučnej siete na vymedzenom území príslušnom </w:t>
      </w:r>
      <w:r w:rsidR="00016250">
        <w:br/>
      </w:r>
      <w:r w:rsidR="00457A78" w:rsidRPr="0089352C">
        <w:t>pre Odberné miesta Objednávateľa;</w:t>
      </w:r>
    </w:p>
    <w:p w14:paraId="7600C381" w14:textId="77777777" w:rsidR="00457A78" w:rsidRPr="0089352C" w:rsidRDefault="00457A78" w:rsidP="009A433A">
      <w:pPr>
        <w:pStyle w:val="Zoznam3"/>
      </w:pPr>
      <w:r w:rsidRPr="0089352C">
        <w:t>nemá vedomosť o žiadnych skutočnostiach, ktoré by mu bránili alebo mohli brániť fakticky alebo právne 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42FA8FF0"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w:t>
      </w:r>
      <w:r w:rsidR="00F656EB">
        <w:br/>
      </w:r>
      <w:r w:rsidRPr="0089352C">
        <w:t xml:space="preserve">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064FCF48"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w:t>
      </w:r>
      <w:r w:rsidR="00525C20">
        <w:br/>
      </w:r>
      <w:r w:rsidRPr="0089352C">
        <w:t xml:space="preserve">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3BED842" w:rsidR="00457A78" w:rsidRPr="0089352C" w:rsidRDefault="00457A78" w:rsidP="0096171D">
      <w:pPr>
        <w:pStyle w:val="Zoznam2"/>
      </w:pPr>
      <w:r w:rsidRPr="0089352C">
        <w:t xml:space="preserve">Poskytovateľ zodpovedá za plnenie zmluvy o subdodávke subdodávateľom tak, ako keby plnenie realizované </w:t>
      </w:r>
      <w:r w:rsidR="00CF70C4">
        <w:br/>
      </w:r>
      <w:r w:rsidRPr="0089352C">
        <w:t>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736BD0">
        <w:t>,</w:t>
      </w:r>
      <w:r w:rsidRPr="0089352C">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3DE3CDF5" w:rsidR="00457A78" w:rsidRPr="00F37B94" w:rsidRDefault="00457A78" w:rsidP="0096171D">
      <w:pPr>
        <w:pStyle w:val="Zoznam2"/>
      </w:pPr>
      <w:r w:rsidRPr="0089352C">
        <w:t xml:space="preserve">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w:t>
      </w:r>
      <w:r w:rsidR="00442911" w:rsidRPr="001E05F5">
        <w:t>Slovenskej republiky</w:t>
      </w:r>
      <w:r w:rsidRPr="0089352C">
        <w:t xml:space="preserve">, najmä v zmysle Zákona o energetike. Poskytovateľ je povinný kedykoľvek umožniť Objednávateľovi nahliadnuť </w:t>
      </w:r>
      <w:r w:rsidR="00B40F1D">
        <w:br/>
      </w:r>
      <w:r w:rsidRPr="0089352C">
        <w:t xml:space="preserve">do dokumentov súvisiacich s poskytovaním Zmluvných plnení, ak je to potrebné v súvislosti s plnením tejto Zmluvy, </w:t>
      </w:r>
      <w:r w:rsidRPr="0089352C">
        <w:lastRenderedPageBreak/>
        <w:t xml:space="preserve">alebo ak takúto povinnosť Poskytovateľovi ukladá všeobecne záväzný právny predpis platný na území </w:t>
      </w:r>
      <w:r w:rsidR="00977051" w:rsidRPr="00F37B94">
        <w:t>Slovenskej republiky</w:t>
      </w:r>
      <w:r w:rsidRPr="00F37B94">
        <w:t>.</w:t>
      </w:r>
    </w:p>
    <w:p w14:paraId="1808C48F" w14:textId="77777777" w:rsidR="00457A78" w:rsidRPr="0089352C" w:rsidRDefault="00457A78" w:rsidP="0096171D">
      <w:pPr>
        <w:pStyle w:val="Zoznam2"/>
      </w:pPr>
      <w:r w:rsidRPr="0089352C">
        <w:t>Ak sa Objednávateľ dopustí neoprávneného odberu plynu, ktorý je definovaný v § 82 Zákona o energetike, jeho konanie sa považuje za podstatné porušenie tejto Zmluvy a Poskytovateľ má právo, ak uvedené porušenie trvá:</w:t>
      </w:r>
    </w:p>
    <w:p w14:paraId="1BB6FFFF" w14:textId="3F00DB90" w:rsidR="00457A78" w:rsidRPr="0089352C" w:rsidRDefault="00457A78" w:rsidP="0096171D">
      <w:pPr>
        <w:pStyle w:val="Zoznam3"/>
      </w:pPr>
      <w:r w:rsidRPr="0089352C">
        <w:t xml:space="preserve">prostredníctvom prevádzkovateľa distribučnej siete prerušiť alebo obmedziť distribúciu plynu </w:t>
      </w:r>
      <w:r w:rsidR="003506E1">
        <w:br/>
      </w:r>
      <w:r w:rsidRPr="0089352C">
        <w:t xml:space="preserve">do </w:t>
      </w:r>
      <w:r w:rsidRPr="00CC4390">
        <w:t>o</w:t>
      </w:r>
      <w:r w:rsidRPr="0089352C">
        <w:t>dberného miesta Objednávateľa;</w:t>
      </w:r>
    </w:p>
    <w:p w14:paraId="56879175" w14:textId="77777777" w:rsidR="00457A78" w:rsidRPr="0089352C" w:rsidRDefault="00457A78" w:rsidP="0096171D">
      <w:pPr>
        <w:pStyle w:val="Zoznam3"/>
      </w:pPr>
      <w:r w:rsidRPr="0089352C">
        <w:t>písomne odstúpiť od tejto Zmluvy.</w:t>
      </w:r>
    </w:p>
    <w:p w14:paraId="2F07BF4E" w14:textId="0C007B6D" w:rsidR="00457A78" w:rsidRPr="0089352C" w:rsidRDefault="00457A78" w:rsidP="0096171D">
      <w:pPr>
        <w:pStyle w:val="Zoznam2"/>
      </w:pPr>
      <w:r w:rsidRPr="0089352C">
        <w:t xml:space="preserve">PDS informuje Objednávateľa o dodávke poslednej inštancie najneskôr pätnásť (15) dní pred uplynutím výpovednej lehoty zmluvy o prístupe do distribučnej sústavy a distribúcii plynu alebo bezprostredne po tom, </w:t>
      </w:r>
      <w:r w:rsidR="001C5221">
        <w:br/>
      </w:r>
      <w:r w:rsidRPr="0089352C">
        <w:t>ako sa dozvie, že Poskytovateľ stratil spôsobilosť dodávať plyn.</w:t>
      </w:r>
    </w:p>
    <w:p w14:paraId="3955F9C7" w14:textId="2057676A" w:rsidR="00457A78" w:rsidRPr="0089352C" w:rsidRDefault="00457A78" w:rsidP="0096171D">
      <w:pPr>
        <w:pStyle w:val="Zoznam2"/>
      </w:pPr>
      <w:r w:rsidRPr="0089352C">
        <w:t xml:space="preserve">Kvalita plynu musí za bežných okolností zodpovedať špecifikácii uvedenej v Technických podmienkach PDS. </w:t>
      </w:r>
      <w:r w:rsidR="00712E41">
        <w:br/>
      </w:r>
      <w:r w:rsidRPr="0089352C">
        <w:t>Na určenie akostných znakov sú záväzné údaje zistené PDS v uzlových bodoch kontroly kvality na distribučnej sieti.</w:t>
      </w:r>
    </w:p>
    <w:p w14:paraId="107BE90A" w14:textId="1AB718B0" w:rsidR="00457A78" w:rsidRPr="0089352C" w:rsidRDefault="00457A78" w:rsidP="0096171D">
      <w:pPr>
        <w:pStyle w:val="Zoznam2"/>
      </w:pPr>
      <w:r w:rsidRPr="0089352C">
        <w:t xml:space="preserve">Na vyžiadanie sa Poskytovateľ zaväzuje v primeranej lehote poskytnúť Objednávateľovi všetky informácie </w:t>
      </w:r>
      <w:r w:rsidR="004140B5">
        <w:br/>
      </w:r>
      <w:r w:rsidRPr="0089352C">
        <w:t xml:space="preserve">a podklady za účelom kontroly realizácie plnenia tejto Zmluvy. S informáciami a podkladmi označenými Objednávateľom ako obchodné tajomstvo, bude Poskytovateľ zaobchádzať ako s dôvernými informáciami. </w:t>
      </w:r>
    </w:p>
    <w:p w14:paraId="4F7C0BF0" w14:textId="37E4D41C"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w:t>
      </w:r>
      <w:proofErr w:type="spellStart"/>
      <w:r w:rsidRPr="0089352C">
        <w:t>a.s</w:t>
      </w:r>
      <w:proofErr w:type="spellEnd"/>
      <w:r w:rsidRPr="0089352C">
        <w:t xml:space="preserve">., Mlynské nivy 44/b, 825 11 Bratislava ako prevádzkovateľa distribučnej siete </w:t>
      </w:r>
      <w:r w:rsidR="008359A1">
        <w:br/>
      </w:r>
      <w:r w:rsidRPr="0089352C">
        <w:t xml:space="preserve">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7777777" w:rsidR="00457A78" w:rsidRPr="0089352C" w:rsidRDefault="00457A78" w:rsidP="0096171D">
      <w:pPr>
        <w:pStyle w:val="Zoznam2"/>
      </w:pPr>
      <w:r w:rsidRPr="0089352C">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4E340B17" w:rsidR="00C932E9" w:rsidRPr="0089352C" w:rsidRDefault="00457A78" w:rsidP="00C932E9">
      <w:pPr>
        <w:pStyle w:val="Zoznam2"/>
      </w:pPr>
      <w:r w:rsidRPr="0089352C">
        <w:t xml:space="preserve">Objednávateľ menuje osobu zodpovednú za kontrolu realizácie a preberanie plnení, a to: </w:t>
      </w:r>
      <w:r w:rsidR="00193A0E">
        <w:t xml:space="preserve">Peter </w:t>
      </w:r>
      <w:proofErr w:type="spellStart"/>
      <w:r w:rsidR="00193A0E">
        <w:t>Adamuv</w:t>
      </w:r>
      <w:proofErr w:type="spellEnd"/>
      <w:r w:rsidR="00C932E9" w:rsidRPr="0089352C">
        <w:t xml:space="preserve">, </w:t>
      </w:r>
      <w:hyperlink r:id="rId8" w:history="1">
        <w:r w:rsidR="00193A0E" w:rsidRPr="006A6797">
          <w:rPr>
            <w:rStyle w:val="Hypertextovprepojenie"/>
          </w:rPr>
          <w:t>adamuv@hzs.sk</w:t>
        </w:r>
      </w:hyperlink>
      <w:r w:rsidR="00193A0E">
        <w:t>, kontakt: +421 944 996</w:t>
      </w:r>
      <w:r w:rsidR="00A43F71">
        <w:t> </w:t>
      </w:r>
      <w:r w:rsidR="00193A0E">
        <w:t>886</w:t>
      </w:r>
      <w:r w:rsidR="00A43F71">
        <w:t>.</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89352C">
        <w:rPr>
          <w:rFonts w:eastAsia="Arial Unicode MS"/>
        </w:rPr>
        <w:t>[ • ].</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2DE56ED0" w:rsidR="00457A78" w:rsidRPr="007A34B0" w:rsidRDefault="00A11753" w:rsidP="0096171D">
      <w:pPr>
        <w:pStyle w:val="Zoznam3"/>
      </w:pPr>
      <w:bookmarkStart w:id="3" w:name="_Ref112852149"/>
      <w:r w:rsidRPr="007A34B0">
        <w:t>cena za služby súvisiace s distribúciou</w:t>
      </w:r>
      <w:r w:rsidR="00457A78" w:rsidRPr="007A34B0">
        <w:t>;</w:t>
      </w:r>
      <w:bookmarkEnd w:id="3"/>
    </w:p>
    <w:p w14:paraId="143C92F0" w14:textId="7E42CD4C" w:rsidR="00A11753" w:rsidRPr="007A34B0" w:rsidRDefault="00A11753" w:rsidP="0096171D">
      <w:pPr>
        <w:pStyle w:val="Zoznam3"/>
      </w:pPr>
      <w:r w:rsidRPr="007A34B0">
        <w:t>cena za služby súvisiace s prepravou a</w:t>
      </w:r>
      <w:r w:rsidR="00C9025A" w:rsidRPr="007A34B0">
        <w:t> </w:t>
      </w:r>
      <w:r w:rsidRPr="007A34B0">
        <w:t>skladovaním</w:t>
      </w:r>
      <w:r w:rsidR="00C9025A" w:rsidRPr="007A34B0">
        <w:t>;</w:t>
      </w:r>
      <w:r w:rsidRPr="007A34B0">
        <w:t xml:space="preserve"> </w:t>
      </w:r>
    </w:p>
    <w:p w14:paraId="25C8D72E" w14:textId="645E8588" w:rsidR="00DE534B" w:rsidRPr="007A34B0" w:rsidRDefault="00DD30A6" w:rsidP="00DD30A6">
      <w:pPr>
        <w:pStyle w:val="Zoznam3"/>
        <w:numPr>
          <w:ilvl w:val="0"/>
          <w:numId w:val="0"/>
        </w:numPr>
        <w:ind w:left="1276"/>
      </w:pPr>
      <w:r w:rsidRPr="007A34B0">
        <w:t xml:space="preserve">4.2.2.1 </w:t>
      </w:r>
      <w:r w:rsidR="00DE534B" w:rsidRPr="007A34B0">
        <w:t xml:space="preserve"> cen</w:t>
      </w:r>
      <w:r w:rsidR="005741A5" w:rsidRPr="007A34B0">
        <w:t>a</w:t>
      </w:r>
      <w:r w:rsidR="00DE534B" w:rsidRPr="007A34B0">
        <w:t xml:space="preserve"> za služby súvisiace s prepravou pre príslušné OM určuje dodávateľ v zmysle Rozhodnutia  </w:t>
      </w:r>
      <w:r w:rsidR="00DE534B" w:rsidRPr="007A34B0">
        <w:br/>
        <w:t xml:space="preserve">             Úradu pre reguláciu sieťových odvetví, ktorým sa spoločnosti eustream, </w:t>
      </w:r>
      <w:proofErr w:type="spellStart"/>
      <w:r w:rsidR="00DE534B" w:rsidRPr="007A34B0">
        <w:t>a.s</w:t>
      </w:r>
      <w:proofErr w:type="spellEnd"/>
      <w:r w:rsidR="00DE534B" w:rsidRPr="007A34B0">
        <w:t xml:space="preserve">. </w:t>
      </w:r>
      <w:r w:rsidR="00DE534B" w:rsidRPr="007A34B0">
        <w:br/>
        <w:t xml:space="preserve">             ako prevádzkovateľovi prepravnej siete určujú tarify za prístup do prepravnej siete a prepravu </w:t>
      </w:r>
      <w:r w:rsidR="00DE534B" w:rsidRPr="00C9025A">
        <w:rPr>
          <w:color w:val="FF0000"/>
        </w:rPr>
        <w:br/>
      </w:r>
      <w:r w:rsidR="00DE534B" w:rsidRPr="007A34B0">
        <w:lastRenderedPageBreak/>
        <w:t xml:space="preserve">             plynu (ďalej len „Rozhodnutie PPS“) platného v čase dodávky v závislosti od DMM </w:t>
      </w:r>
      <w:r w:rsidR="00DE534B" w:rsidRPr="007A34B0">
        <w:br/>
        <w:t xml:space="preserve">             a so zohľadnením všetkých poplatkov vyplývajúcich z platného Rozhodnutia PPS, pričom </w:t>
      </w:r>
      <w:r w:rsidR="00DE534B" w:rsidRPr="007A34B0">
        <w:br/>
        <w:t xml:space="preserve">             dodávateľ si má právo vždy pred začiatkom každého kalendárneho roka zvoliť vstupný bod </w:t>
      </w:r>
      <w:r w:rsidR="00DE534B" w:rsidRPr="007A34B0">
        <w:br/>
        <w:t xml:space="preserve">             pre výpočet príslušnej sadzby</w:t>
      </w:r>
      <w:r w:rsidR="005741A5" w:rsidRPr="007A34B0">
        <w:t>;</w:t>
      </w:r>
    </w:p>
    <w:p w14:paraId="4066A6B1" w14:textId="00503A53" w:rsidR="00DD30A6" w:rsidRPr="007A34B0" w:rsidRDefault="00DE534B" w:rsidP="00DD30A6">
      <w:pPr>
        <w:pStyle w:val="Zoznam3"/>
        <w:numPr>
          <w:ilvl w:val="0"/>
          <w:numId w:val="0"/>
        </w:numPr>
        <w:ind w:left="1276"/>
      </w:pPr>
      <w:r w:rsidRPr="007A34B0">
        <w:t xml:space="preserve">4.2.2.2  V prípade zmeny prepravných sietí, prostredníctvom ktorých dodávateľ zabezpečuje dodávku </w:t>
      </w:r>
      <w:r w:rsidRPr="007A34B0">
        <w:br/>
        <w:t xml:space="preserve">              plynu, je dodávateľ oprávnený uplatniť cenu za služby súvisiace s prepravou podľa prepravnej </w:t>
      </w:r>
      <w:r w:rsidRPr="007A34B0">
        <w:br/>
        <w:t xml:space="preserve">              trasy z obchodného bodu THE. Cena za služby spojené s prepravou bude v príslušnom </w:t>
      </w:r>
      <w:r w:rsidRPr="007A34B0">
        <w:br/>
        <w:t xml:space="preserve">              fakturačnom období v takom prípade určená v zmysle príslušných, v čase dodávky plynu platných </w:t>
      </w:r>
      <w:r w:rsidRPr="007A34B0">
        <w:br/>
        <w:t xml:space="preserve">              a účinných, cenových rozhodnutí príslušných regulačných orgánov na území Slovenskej </w:t>
      </w:r>
      <w:r w:rsidRPr="007A34B0">
        <w:br/>
        <w:t xml:space="preserve">              republiky (ÚRSO), Českej republiky (ERÚ), Nemeckej republiky (</w:t>
      </w:r>
      <w:proofErr w:type="spellStart"/>
      <w:r w:rsidRPr="007A34B0">
        <w:t>BnetzA</w:t>
      </w:r>
      <w:proofErr w:type="spellEnd"/>
      <w:r w:rsidRPr="007A34B0">
        <w:t xml:space="preserve">), ktorými sa príslušným </w:t>
      </w:r>
      <w:r w:rsidRPr="007A34B0">
        <w:br/>
        <w:t xml:space="preserve">              prevádzkovateľom prepravných sietí (</w:t>
      </w:r>
      <w:proofErr w:type="spellStart"/>
      <w:r w:rsidRPr="007A34B0">
        <w:t>t.j</w:t>
      </w:r>
      <w:proofErr w:type="spellEnd"/>
      <w:r w:rsidRPr="007A34B0">
        <w:t xml:space="preserve">. eustream, </w:t>
      </w:r>
      <w:proofErr w:type="spellStart"/>
      <w:r w:rsidRPr="007A34B0">
        <w:t>a.s</w:t>
      </w:r>
      <w:proofErr w:type="spellEnd"/>
      <w:r w:rsidRPr="007A34B0">
        <w:t xml:space="preserve">. pre územie Slovenskej republiky, </w:t>
      </w:r>
      <w:r w:rsidRPr="007A34B0">
        <w:br/>
        <w:t xml:space="preserve">              NET4GAS, </w:t>
      </w:r>
      <w:proofErr w:type="spellStart"/>
      <w:r w:rsidRPr="007A34B0">
        <w:t>s.r.o</w:t>
      </w:r>
      <w:proofErr w:type="spellEnd"/>
      <w:r w:rsidRPr="007A34B0">
        <w:t xml:space="preserve">. pre územie Českej republiky, </w:t>
      </w:r>
      <w:proofErr w:type="spellStart"/>
      <w:r w:rsidRPr="007A34B0">
        <w:t>Open</w:t>
      </w:r>
      <w:proofErr w:type="spellEnd"/>
      <w:r w:rsidRPr="007A34B0">
        <w:t xml:space="preserve"> </w:t>
      </w:r>
      <w:proofErr w:type="spellStart"/>
      <w:r w:rsidRPr="007A34B0">
        <w:t>Grid</w:t>
      </w:r>
      <w:proofErr w:type="spellEnd"/>
      <w:r w:rsidRPr="007A34B0">
        <w:t xml:space="preserve"> </w:t>
      </w:r>
      <w:proofErr w:type="spellStart"/>
      <w:r w:rsidRPr="007A34B0">
        <w:t>Europe</w:t>
      </w:r>
      <w:proofErr w:type="spellEnd"/>
      <w:r w:rsidRPr="007A34B0">
        <w:t xml:space="preserve">, </w:t>
      </w:r>
      <w:proofErr w:type="spellStart"/>
      <w:r w:rsidRPr="007A34B0">
        <w:t>Gascade</w:t>
      </w:r>
      <w:proofErr w:type="spellEnd"/>
      <w:r w:rsidRPr="007A34B0">
        <w:t xml:space="preserve"> a </w:t>
      </w:r>
      <w:proofErr w:type="spellStart"/>
      <w:r w:rsidRPr="007A34B0">
        <w:t>Ontras</w:t>
      </w:r>
      <w:proofErr w:type="spellEnd"/>
      <w:r w:rsidRPr="007A34B0">
        <w:t xml:space="preserve"> pre územie </w:t>
      </w:r>
      <w:r w:rsidRPr="007A34B0">
        <w:br/>
        <w:t xml:space="preserve">              Nemeckej republiky) určujú tarify za prístup do prepravných sietí a prepravu plynu a iné regulačné </w:t>
      </w:r>
      <w:r w:rsidRPr="007A34B0">
        <w:br/>
        <w:t xml:space="preserve">              poplatky priamo súvisiace s prepravou plynu. Cena prepravy sa skladá z ceny za prepravu </w:t>
      </w:r>
      <w:r w:rsidRPr="007A34B0">
        <w:br/>
        <w:t xml:space="preserve">              zemného plynu z Nemecka na výstupe z THE zóny do Českej republiky (v zmysle prevádzkových </w:t>
      </w:r>
      <w:r w:rsidRPr="007A34B0">
        <w:br/>
        <w:t xml:space="preserve">              predpisov pre prepravnú sieť v Nemecku a prevádzkovateľa obchodnej zóny THE spoločnosti </w:t>
      </w:r>
      <w:r w:rsidRPr="007A34B0">
        <w:br/>
        <w:t xml:space="preserve">             </w:t>
      </w:r>
      <w:proofErr w:type="spellStart"/>
      <w:r w:rsidRPr="007A34B0">
        <w:t>Trading</w:t>
      </w:r>
      <w:proofErr w:type="spellEnd"/>
      <w:r w:rsidRPr="007A34B0">
        <w:t xml:space="preserve"> Hub </w:t>
      </w:r>
      <w:proofErr w:type="spellStart"/>
      <w:r w:rsidRPr="007A34B0">
        <w:t>Europe</w:t>
      </w:r>
      <w:proofErr w:type="spellEnd"/>
      <w:r w:rsidRPr="007A34B0">
        <w:t xml:space="preserve">, </w:t>
      </w:r>
      <w:proofErr w:type="spellStart"/>
      <w:r w:rsidRPr="007A34B0">
        <w:t>GmbH</w:t>
      </w:r>
      <w:proofErr w:type="spellEnd"/>
      <w:r w:rsidRPr="007A34B0">
        <w:t xml:space="preserve">), následne z Nemecka do Českej republiky cez vstupný bod </w:t>
      </w:r>
      <w:r w:rsidRPr="007A34B0">
        <w:br/>
        <w:t xml:space="preserve">              </w:t>
      </w:r>
      <w:proofErr w:type="spellStart"/>
      <w:r w:rsidRPr="007A34B0">
        <w:t>Waidhaus</w:t>
      </w:r>
      <w:proofErr w:type="spellEnd"/>
      <w:r w:rsidRPr="007A34B0">
        <w:t xml:space="preserve"> a výstupný bod </w:t>
      </w:r>
      <w:proofErr w:type="spellStart"/>
      <w:r w:rsidRPr="007A34B0">
        <w:t>Lanžhot</w:t>
      </w:r>
      <w:proofErr w:type="spellEnd"/>
      <w:r w:rsidRPr="007A34B0">
        <w:t xml:space="preserve"> (v zmysle prevádzkových predpisov pre prepravnú sieť Českej </w:t>
      </w:r>
      <w:r w:rsidRPr="007A34B0">
        <w:br/>
        <w:t xml:space="preserve">              republiky) a ďalej z ceny za prepravu na Slovensko, a to cez vstupný bod </w:t>
      </w:r>
      <w:proofErr w:type="spellStart"/>
      <w:r w:rsidRPr="007A34B0">
        <w:t>Lanžhot</w:t>
      </w:r>
      <w:proofErr w:type="spellEnd"/>
      <w:r w:rsidRPr="007A34B0">
        <w:t xml:space="preserve"> a výstupný </w:t>
      </w:r>
      <w:r w:rsidRPr="007A34B0">
        <w:br/>
        <w:t xml:space="preserve">             </w:t>
      </w:r>
      <w:r w:rsidR="005741A5" w:rsidRPr="007A34B0">
        <w:t xml:space="preserve"> </w:t>
      </w:r>
      <w:r w:rsidRPr="007A34B0">
        <w:t xml:space="preserve">bod Domáci bod (oboje v zmysle Prevádzkového poriadku eustream, </w:t>
      </w:r>
      <w:proofErr w:type="spellStart"/>
      <w:r w:rsidRPr="007A34B0">
        <w:t>a.s</w:t>
      </w:r>
      <w:proofErr w:type="spellEnd"/>
      <w:r w:rsidRPr="007A34B0">
        <w:t>.).</w:t>
      </w:r>
    </w:p>
    <w:p w14:paraId="38128A62" w14:textId="373EFA7B" w:rsidR="005741A5" w:rsidRPr="00037823" w:rsidRDefault="005741A5" w:rsidP="00DD30A6">
      <w:pPr>
        <w:pStyle w:val="Zoznam3"/>
        <w:numPr>
          <w:ilvl w:val="0"/>
          <w:numId w:val="0"/>
        </w:numPr>
        <w:ind w:left="1276"/>
      </w:pPr>
      <w:r w:rsidRPr="00037823">
        <w:t xml:space="preserve">4.2.2.3   V prípade zavedenia ďalších alebo zmeny existujúcich poplatkov súvisiacich s prepravou plynu </w:t>
      </w:r>
      <w:r w:rsidRPr="00037823">
        <w:br/>
        <w:t xml:space="preserve">               na prepravnej trase z obchodného bodu THE na slovenský domáci bod oproti stavu pri podpise </w:t>
      </w:r>
      <w:r w:rsidRPr="00037823">
        <w:br/>
        <w:t xml:space="preserve">               tejto </w:t>
      </w:r>
      <w:r w:rsidR="00745C38" w:rsidRPr="00037823">
        <w:t>Z</w:t>
      </w:r>
      <w:r w:rsidRPr="00037823">
        <w:t xml:space="preserve">mluvy, má dodávateľ právo zohľadniť navýšenie ceny za služby súvisiace s prepravou </w:t>
      </w:r>
      <w:r w:rsidR="00745C38" w:rsidRPr="00037823">
        <w:br/>
        <w:t xml:space="preserve">               </w:t>
      </w:r>
      <w:r w:rsidRPr="00037823">
        <w:t xml:space="preserve">z dôvodu uplatnenia tohto poplatku v mesiaci nasledujúcom po oznámení takejto zmeny </w:t>
      </w:r>
      <w:r w:rsidR="00745C38" w:rsidRPr="00037823">
        <w:br/>
        <w:t xml:space="preserve">               Objednávateľovi </w:t>
      </w:r>
      <w:r w:rsidRPr="00037823">
        <w:t xml:space="preserve">s poukazom na rozhodnutia príslušných orgánov, resp. príslušný </w:t>
      </w:r>
      <w:r w:rsidR="00745C38" w:rsidRPr="00037823">
        <w:br/>
        <w:t xml:space="preserve">               </w:t>
      </w:r>
      <w:r w:rsidRPr="00037823">
        <w:t>právny predpis alebo cenník prevádzkovateľa</w:t>
      </w:r>
      <w:r w:rsidR="00745C38" w:rsidRPr="00037823">
        <w:t xml:space="preserve"> prepravnej siete. Pre vylúčenie pochybností, právo </w:t>
      </w:r>
      <w:r w:rsidR="00745C38" w:rsidRPr="00037823">
        <w:br/>
      </w:r>
      <w:r w:rsidR="009454F7" w:rsidRPr="00037823">
        <w:t xml:space="preserve">               </w:t>
      </w:r>
      <w:r w:rsidR="00745C38" w:rsidRPr="00037823">
        <w:t xml:space="preserve">Poskytovateľa vyplývajúce z ustanovenia tohto bodu ostáva zachované bez ohľadu </w:t>
      </w:r>
      <w:r w:rsidR="00745C38" w:rsidRPr="00037823">
        <w:br/>
        <w:t xml:space="preserve">               na uplatnenie bodu </w:t>
      </w:r>
      <w:r w:rsidR="00E409B2" w:rsidRPr="00037823">
        <w:t>4</w:t>
      </w:r>
      <w:r w:rsidR="00745C38" w:rsidRPr="00037823">
        <w:t>.2.</w:t>
      </w:r>
      <w:r w:rsidR="00E409B2" w:rsidRPr="00037823">
        <w:t>2</w:t>
      </w:r>
      <w:r w:rsidR="00E301AE" w:rsidRPr="00037823">
        <w:t>.1</w:t>
      </w:r>
      <w:r w:rsidR="00745C38" w:rsidRPr="00037823">
        <w:t xml:space="preserve"> alebo </w:t>
      </w:r>
      <w:r w:rsidR="00E301AE" w:rsidRPr="00037823">
        <w:t>4</w:t>
      </w:r>
      <w:r w:rsidR="00745C38" w:rsidRPr="00037823">
        <w:t>.2.2.</w:t>
      </w:r>
      <w:r w:rsidR="00E301AE" w:rsidRPr="00037823">
        <w:t>2.</w:t>
      </w:r>
    </w:p>
    <w:p w14:paraId="3396828A" w14:textId="1264E7D2" w:rsidR="00934B1F" w:rsidRPr="0089352C" w:rsidRDefault="00025A12" w:rsidP="00934B1F">
      <w:pPr>
        <w:pStyle w:val="Zoznam3"/>
      </w:pPr>
      <w:r>
        <w:t xml:space="preserve">spotrebná daň zo zemného plynu podľa zákona č. 609/2007 Z. z. o spotrebnej dani z elektriny, uhlia </w:t>
      </w:r>
      <w:r w:rsidR="00934B1F">
        <w:br/>
      </w:r>
      <w:r>
        <w:t xml:space="preserve">a zemného plynu a o zmene a doplnení zákona č. 98/2004 Z. z. o spotrebnej dani z minerálneho oleja </w:t>
      </w:r>
      <w:r w:rsidR="007F0D0D">
        <w:br/>
      </w:r>
      <w:r>
        <w:t xml:space="preserve">v znení neskorších predpisov v znení neskorších predpisov, </w:t>
      </w:r>
      <w:proofErr w:type="spellStart"/>
      <w:r>
        <w:t>t.j</w:t>
      </w:r>
      <w:proofErr w:type="spellEnd"/>
      <w:r>
        <w:t>. v znení platnom a účinnom v čase uskutočnenia</w:t>
      </w:r>
      <w:r w:rsidR="00934B1F">
        <w:t xml:space="preserve"> </w:t>
      </w:r>
      <w:r w:rsidR="00934B1F" w:rsidRPr="0089352C">
        <w:t>zdaniteľného plnenia (ďalej ako „</w:t>
      </w:r>
      <w:r w:rsidR="00934B1F" w:rsidRPr="0089352C">
        <w:rPr>
          <w:b/>
        </w:rPr>
        <w:t>Zákon o spotrebnej dani</w:t>
      </w:r>
      <w:r w:rsidR="00934B1F" w:rsidRPr="0089352C">
        <w:t>“);</w:t>
      </w:r>
      <w:r w:rsidR="00934B1F">
        <w:t xml:space="preserve"> </w:t>
      </w:r>
    </w:p>
    <w:p w14:paraId="2BA351CC" w14:textId="58A64C7E" w:rsidR="00934B1F" w:rsidRPr="0089352C" w:rsidRDefault="007F0D0D" w:rsidP="00934B1F">
      <w:pPr>
        <w:pStyle w:val="Zoznam3"/>
      </w:pPr>
      <w:r>
        <w:t>daň z pridanej hodnoty (ďalej len „</w:t>
      </w:r>
      <w:r w:rsidRPr="007F0D0D">
        <w:rPr>
          <w:b/>
          <w:bCs w:val="0"/>
        </w:rPr>
        <w:t>DPH</w:t>
      </w:r>
      <w:r>
        <w:t>“) podľa zákona č. 222/2004 Z. z. o dani z pridanej hodnoty v znení platnom a účinnom v čase uskutočnenia zdaniteľného plnenia (ďalej ako „</w:t>
      </w:r>
      <w:r w:rsidRPr="007F0D0D">
        <w:rPr>
          <w:b/>
          <w:bCs w:val="0"/>
        </w:rPr>
        <w:t>Zákon o DPH</w:t>
      </w:r>
      <w:r>
        <w:t>“).</w:t>
      </w:r>
    </w:p>
    <w:p w14:paraId="2A6352F8" w14:textId="77777777" w:rsidR="00457A78" w:rsidRPr="0089352C" w:rsidRDefault="00457A78" w:rsidP="0096171D">
      <w:pPr>
        <w:pStyle w:val="Zoznam2"/>
      </w:pPr>
      <w:r w:rsidRPr="0089352C">
        <w:t>Fakturácia</w:t>
      </w:r>
    </w:p>
    <w:p w14:paraId="3F72C1B8" w14:textId="09FE1D99" w:rsidR="00457A78" w:rsidRPr="0089352C" w:rsidRDefault="00457A78" w:rsidP="0096171D">
      <w:pPr>
        <w:pStyle w:val="Zoznam3"/>
      </w:pPr>
      <w:r w:rsidRPr="0089352C">
        <w:t xml:space="preserve">Dodávka plynu a poskytovanie distribučných služieb sú v zmysle Zákona o DPH považované </w:t>
      </w:r>
      <w:r w:rsidR="000513EC">
        <w:br/>
      </w:r>
      <w:r w:rsidRPr="0089352C">
        <w:t xml:space="preserve">za opakované dodanie tovaru a služieb v mesačne sa opakujúcich lehotách. Faktúry sa vystavujú spoločne za dodávku plynu a distribučné služby. </w:t>
      </w:r>
    </w:p>
    <w:p w14:paraId="307E9094" w14:textId="63521238" w:rsidR="00457A78" w:rsidRPr="0089352C" w:rsidRDefault="00457A78" w:rsidP="0096171D">
      <w:pPr>
        <w:pStyle w:val="Zoznam3"/>
      </w:pPr>
      <w:r w:rsidRPr="0089352C">
        <w:t xml:space="preserve">Fakturačné obdobie je obdobie, za ktoré Poskytovateľ vykonáva zúčtovanie skutočnej spotreby plynu Objednávateľa, ktorým je v prípade Odberných miest s mesačným odpočtom každý kalendárny mesiac a v prípade </w:t>
      </w:r>
      <w:r w:rsidR="00BB4829" w:rsidRPr="002267BC">
        <w:t>O</w:t>
      </w:r>
      <w:r w:rsidRPr="002267BC">
        <w:t>d</w:t>
      </w:r>
      <w:r w:rsidRPr="0089352C">
        <w:t>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6425D4" w:rsidRDefault="00457A78" w:rsidP="0096171D">
      <w:pPr>
        <w:pStyle w:val="Zoznam3"/>
      </w:pPr>
      <w:r w:rsidRPr="006425D4">
        <w:t>Objednávateľ bude pre Odberné miesta uhrádzať Poskytovateľovi mesačné preddavky na cenu plnenia predmetu tejto Zmluvy (ďalej ako „</w:t>
      </w:r>
      <w:r w:rsidRPr="006425D4">
        <w:rPr>
          <w:b/>
        </w:rPr>
        <w:t>Preddavky</w:t>
      </w:r>
      <w:r w:rsidRPr="006425D4">
        <w:t>“) podľa Prílohy č. 6 tejto Zmluvy.</w:t>
      </w:r>
    </w:p>
    <w:p w14:paraId="02E076AE" w14:textId="77777777" w:rsidR="00457A78" w:rsidRPr="0089352C" w:rsidRDefault="00457A78" w:rsidP="0096171D">
      <w:pPr>
        <w:pStyle w:val="Zoznam3"/>
      </w:pPr>
      <w:bookmarkStart w:id="4" w:name="_Ref136979428"/>
      <w:r w:rsidRPr="0089352C">
        <w:t>Vo faktúre za Odberné miesta s mesačným odpočtom Poskytovateľ z</w:t>
      </w:r>
      <w:bookmarkStart w:id="5" w:name="_GoBack"/>
      <w:bookmarkEnd w:id="5"/>
      <w:r w:rsidRPr="0089352C">
        <w:t>ohľadní zaplatené Preddavky 1.</w:t>
      </w:r>
      <w:bookmarkEnd w:id="4"/>
    </w:p>
    <w:p w14:paraId="78359C84" w14:textId="03A48880" w:rsidR="00457A78" w:rsidRPr="0089352C" w:rsidRDefault="00457A78" w:rsidP="0096171D">
      <w:pPr>
        <w:pStyle w:val="Zoznam3"/>
      </w:pPr>
      <w:bookmarkStart w:id="6"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6"/>
    </w:p>
    <w:p w14:paraId="3BC273B5" w14:textId="77777777" w:rsidR="00457A78" w:rsidRPr="0089352C" w:rsidRDefault="00457A78" w:rsidP="0096171D">
      <w:pPr>
        <w:pStyle w:val="Zoznam3"/>
      </w:pPr>
      <w:r w:rsidRPr="0089352C">
        <w:t xml:space="preserve">Faktúra vystavená Poskytovateľom bude obsahovať náležitosti podľa Zákona o DPH a podľa ostatných </w:t>
      </w:r>
      <w:r w:rsidRPr="0089352C">
        <w:lastRenderedPageBreak/>
        <w:t>daňových a účtovných predpisov vrátane informácie podľa Zákona o energetike.</w:t>
      </w:r>
    </w:p>
    <w:p w14:paraId="2DDDCBFC" w14:textId="2F160D50" w:rsidR="00457A78" w:rsidRPr="0089352C" w:rsidRDefault="00457A78" w:rsidP="0096171D">
      <w:pPr>
        <w:pStyle w:val="Zoznam3"/>
      </w:pPr>
      <w:bookmarkStart w:id="7" w:name="_Ref136979590"/>
      <w:bookmarkStart w:id="8" w:name="OLE_LINK17"/>
      <w:r w:rsidRPr="0089352C">
        <w:t xml:space="preserve">Lehota splatnosti faktúry Poskytovateľa je </w:t>
      </w:r>
      <w:r w:rsidR="00076F1F" w:rsidRPr="00037823">
        <w:t xml:space="preserve">štrnásť </w:t>
      </w:r>
      <w:r w:rsidRPr="00037823">
        <w:t>(</w:t>
      </w:r>
      <w:r w:rsidR="00076F1F" w:rsidRPr="00037823">
        <w:t>14</w:t>
      </w:r>
      <w:r w:rsidRPr="00037823">
        <w:t xml:space="preserve">) </w:t>
      </w:r>
      <w:r w:rsidRPr="0089352C">
        <w:t>dní odo dňa doručenia faktúry Objednávateľovi.</w:t>
      </w:r>
      <w:bookmarkEnd w:id="7"/>
      <w:r w:rsidRPr="0089352C">
        <w:t xml:space="preserve"> </w:t>
      </w:r>
    </w:p>
    <w:p w14:paraId="30E7453C" w14:textId="0430F6CD" w:rsidR="00457A78" w:rsidRPr="0089352C" w:rsidRDefault="00457A78" w:rsidP="0096171D">
      <w:pPr>
        <w:pStyle w:val="Zoznam3"/>
      </w:pPr>
      <w:bookmarkStart w:id="9" w:name="OLE_LINK16"/>
      <w:bookmarkEnd w:id="8"/>
      <w:r w:rsidRPr="0089352C">
        <w:t xml:space="preserve">Lehota pre doručenie faktúr je </w:t>
      </w:r>
      <w:r w:rsidR="00D60D07" w:rsidRPr="00246AAC">
        <w:t>pätnásť (</w:t>
      </w:r>
      <w:r w:rsidRPr="00246AAC">
        <w:t>15</w:t>
      </w:r>
      <w:r w:rsidR="00D60D07" w:rsidRPr="00246AAC">
        <w:t>)</w:t>
      </w:r>
      <w:r w:rsidRPr="00246AAC">
        <w:t xml:space="preserve"> dní</w:t>
      </w:r>
      <w:r w:rsidRPr="0089352C">
        <w:t xml:space="preserve"> od ukončenia príslušného Fakturačného obdobia</w:t>
      </w:r>
      <w:bookmarkEnd w:id="9"/>
      <w:r w:rsidRPr="0089352C">
        <w:t>.</w:t>
      </w:r>
    </w:p>
    <w:p w14:paraId="3357DB99" w14:textId="4BFA9531" w:rsidR="00457A78" w:rsidRPr="0089352C" w:rsidRDefault="00457A78" w:rsidP="0096171D">
      <w:pPr>
        <w:pStyle w:val="Zoznam3"/>
      </w:pPr>
      <w:r w:rsidRPr="0089352C">
        <w:t xml:space="preserve">Ak predložená faktúra nebude vystavená v súlade s touto Zmluvou, Objednávateľ ju bezodkladne vráti Poskytovateľovi na prepracovanie. Opravená faktúra je splatná do tridsiatich (30) kalendárnych dní </w:t>
      </w:r>
      <w:r w:rsidR="001679E0">
        <w:br/>
      </w:r>
      <w:r w:rsidRPr="0089352C">
        <w:t>odo dňa jej opätovného doručenia Objednávateľovi.</w:t>
      </w:r>
    </w:p>
    <w:p w14:paraId="4C905D64" w14:textId="77777777" w:rsidR="00457A78" w:rsidRPr="0089352C" w:rsidRDefault="00457A78" w:rsidP="0096171D">
      <w:pPr>
        <w:pStyle w:val="Zoznam3"/>
      </w:pPr>
      <w:r w:rsidRPr="0089352C">
        <w:t>Všetky faktúry a Preddavky budú uhrádzané výhradne bezhotovostne. Odplata sa považuje za uhradenú dňom odpísania finančných prostriedkov z bankového účtu Objednávateľa.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4D8EA374" w:rsidR="0096171D" w:rsidRPr="0089352C"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w:t>
      </w:r>
      <w:r w:rsidR="00C84932" w:rsidRPr="00C36FFF">
        <w:t>tejto Zmluvy</w:t>
      </w:r>
      <w:r w:rsidR="00C84932">
        <w:t xml:space="preserve"> </w:t>
      </w:r>
      <w:r w:rsidRPr="0089352C">
        <w:t>preplatok, Poskytovateľ ho uhradí na účet Objednávateľa v lehote splatnosti faktúry.</w:t>
      </w:r>
    </w:p>
    <w:p w14:paraId="0D379016" w14:textId="77777777" w:rsidR="0096171D" w:rsidRPr="0089352C" w:rsidRDefault="0096171D" w:rsidP="0096171D">
      <w:pPr>
        <w:pStyle w:val="Nadpis1"/>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Poskytovateľ nezodpovedá za škodu, ktorá vznikla Objednávateľovi v dôsledku poskytnutia nepravdivej, zavádzajúcej alebo neúplnej informácie, dokumentov alebo akýchkoľvek iných podkladov poskytnutých Objednávateľom Poskytovateľovi.</w:t>
      </w:r>
    </w:p>
    <w:p w14:paraId="1CF05F78" w14:textId="0C96171B" w:rsidR="00457A78" w:rsidRPr="0089352C" w:rsidRDefault="00457A78" w:rsidP="0096171D">
      <w:pPr>
        <w:pStyle w:val="Zoznam2"/>
      </w:pPr>
      <w:r w:rsidRPr="0089352C">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 xml:space="preserve">tejto Zmluvy je Poskytovateľ oprávnený </w:t>
      </w:r>
      <w:r w:rsidR="00C84932">
        <w:br/>
      </w:r>
      <w:r w:rsidRPr="0089352C">
        <w:t>od Objednávateľa požadovať úroky z omeškania v zákonom stanovenej výške, a to za každý aj začatý deň omeškania.</w:t>
      </w:r>
    </w:p>
    <w:p w14:paraId="14C47A6D" w14:textId="0E689E31"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w:t>
      </w:r>
      <w:r w:rsidR="00DC48AD">
        <w:br/>
      </w:r>
      <w:r w:rsidRPr="0089352C">
        <w:t xml:space="preserve">za poskytnutie plnenia na </w:t>
      </w:r>
      <w:r w:rsidR="00003CAF" w:rsidRPr="007E3D30">
        <w:t>O</w:t>
      </w:r>
      <w:r w:rsidRPr="0089352C">
        <w:t>dbernom mieste, ktorého sa omeškanie týka, a to za každý aj začatý</w:t>
      </w:r>
      <w:r w:rsidR="00054027">
        <w:t xml:space="preserve"> </w:t>
      </w:r>
      <w:r w:rsidRPr="0089352C">
        <w:t xml:space="preserve">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w:t>
      </w:r>
      <w:r w:rsidR="00855765">
        <w:t>Z</w:t>
      </w:r>
      <w:r w:rsidRPr="0089352C">
        <w:t xml:space="preserve">mluvy, je Objednávateľ oprávnený od Poskytovateľa požadovať zmluvnú pokutu vo výške 0,05 % z ceny dohodnutej v tejto Zmluve za poskytnutie plnenia na </w:t>
      </w:r>
      <w:r w:rsidR="00786226" w:rsidRPr="007E3D30">
        <w:t>O</w:t>
      </w:r>
      <w:r w:rsidRPr="0089352C">
        <w:t xml:space="preserve">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28DFBBBE" w:rsidR="00457A78" w:rsidRDefault="00457A78" w:rsidP="0096171D">
      <w:pPr>
        <w:pStyle w:val="Zoznam2"/>
      </w:pPr>
      <w:r w:rsidRPr="0089352C">
        <w:t xml:space="preserve">Objednávateľ má právo kedykoľvek reklamovať vady Zmluvného plnenia poskytnutého Poskytovateľom </w:t>
      </w:r>
      <w:r w:rsidR="00C17126">
        <w:br/>
      </w:r>
      <w:r w:rsidRPr="0089352C">
        <w:t>resp. akékoľvek chyby, ku ktorým došlo pri plnení tejto Zmluvy.</w:t>
      </w:r>
    </w:p>
    <w:p w14:paraId="5D2D301E" w14:textId="1FEB81D0" w:rsidR="00457A78" w:rsidRPr="007E3D30" w:rsidRDefault="00457A78" w:rsidP="007E3D30">
      <w:pPr>
        <w:pStyle w:val="Zoznam2"/>
      </w:pPr>
      <w:bookmarkStart w:id="10" w:name="_Ref136979670"/>
      <w:r w:rsidRPr="0089352C">
        <w:t xml:space="preserve">Poskytovateľ reklamáciu prešetrí a výsledok prešetrenia písomne oznámi Objednávateľovi v lehote pätnástich (15) dní od doručenia reklamácie, pokiaľ zo zákona nevyplýva iná lehota. </w:t>
      </w:r>
      <w:bookmarkEnd w:id="10"/>
    </w:p>
    <w:p w14:paraId="5873AC34" w14:textId="71B1602F" w:rsidR="00457A78" w:rsidRDefault="00457A78" w:rsidP="0096171D">
      <w:pPr>
        <w:pStyle w:val="Zoznam2"/>
      </w:pPr>
      <w:r w:rsidRPr="0089352C">
        <w:t xml:space="preserve">Objednávateľ si môže uplatniť reklamáciu u: </w:t>
      </w:r>
      <w:r w:rsidRPr="0089352C">
        <w:rPr>
          <w:rFonts w:eastAsia="Arial Unicode MS"/>
        </w:rPr>
        <w:t>[ • ]</w:t>
      </w:r>
      <w:r w:rsidRPr="0089352C">
        <w:t xml:space="preserve">, </w:t>
      </w:r>
      <w:r w:rsidRPr="0089352C">
        <w:rPr>
          <w:rFonts w:eastAsia="Arial Unicode MS"/>
        </w:rPr>
        <w:t xml:space="preserve">[ • ] </w:t>
      </w:r>
      <w:r w:rsidRPr="0089352C">
        <w:t xml:space="preserve">písomne na adrese: </w:t>
      </w:r>
      <w:r w:rsidRPr="0089352C">
        <w:rPr>
          <w:rFonts w:eastAsia="Arial Unicode MS"/>
        </w:rPr>
        <w:t>[ • ]</w:t>
      </w:r>
      <w:r w:rsidRPr="0089352C">
        <w:t xml:space="preserve"> e-mailom: </w:t>
      </w:r>
      <w:r w:rsidRPr="0089352C">
        <w:rPr>
          <w:rFonts w:eastAsia="Arial Unicode MS"/>
        </w:rPr>
        <w:t>[ • ].</w:t>
      </w:r>
      <w:r w:rsidRPr="0089352C">
        <w:t xml:space="preserve"> </w:t>
      </w:r>
    </w:p>
    <w:p w14:paraId="3CC3CD02" w14:textId="77777777" w:rsidR="00A6589E" w:rsidRPr="0089352C" w:rsidRDefault="00A6589E" w:rsidP="00A6589E">
      <w:pPr>
        <w:pStyle w:val="Zoznam2"/>
        <w:numPr>
          <w:ilvl w:val="0"/>
          <w:numId w:val="0"/>
        </w:numPr>
        <w:ind w:left="578"/>
      </w:pPr>
    </w:p>
    <w:p w14:paraId="30C2113A" w14:textId="77777777" w:rsidR="0096171D" w:rsidRPr="0089352C" w:rsidRDefault="0096171D" w:rsidP="0096171D">
      <w:pPr>
        <w:pStyle w:val="Nadpis1"/>
      </w:pPr>
    </w:p>
    <w:p w14:paraId="3068F2EF" w14:textId="296EC39D" w:rsidR="00457A78" w:rsidRPr="0089352C" w:rsidRDefault="00457A78" w:rsidP="0096171D">
      <w:pPr>
        <w:pStyle w:val="Nadpis2"/>
      </w:pPr>
      <w:r w:rsidRPr="0089352C">
        <w:t xml:space="preserve">Povinnosti </w:t>
      </w:r>
      <w:r w:rsidR="000F77A9" w:rsidRPr="00705640">
        <w:t>O</w:t>
      </w:r>
      <w:r w:rsidRPr="0089352C">
        <w:t>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21CC5C00" w:rsidR="00457A78" w:rsidRPr="0089352C" w:rsidRDefault="00457A78" w:rsidP="0096171D">
      <w:pPr>
        <w:pStyle w:val="Zoznam3"/>
      </w:pPr>
      <w:r w:rsidRPr="0089352C">
        <w:t xml:space="preserve">odovzdať Poskytovateľovi všetky dokumenty a poskytnúť mu všetky informácie, ktoré sú potrebné </w:t>
      </w:r>
      <w:r w:rsidR="009A14B5">
        <w:br/>
      </w:r>
      <w:r w:rsidRPr="0089352C">
        <w:t>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3F42D3D8" w:rsidR="00457A78" w:rsidRPr="0089352C" w:rsidRDefault="00457A78" w:rsidP="0096171D">
      <w:pPr>
        <w:pStyle w:val="Zoznam2"/>
      </w:pPr>
      <w:r w:rsidRPr="0089352C">
        <w:t>Táto Zmluva sa uzatvára na dobu určitú, na obdobie od 01.01.2024 od 00:00 hod. do 31.12.202</w:t>
      </w:r>
      <w:r w:rsidR="000D38C9">
        <w:t>5</w:t>
      </w:r>
      <w:r w:rsidRPr="0089352C">
        <w:t xml:space="preserve">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3D3C0F8E" w:rsidR="00457A78" w:rsidRPr="0089352C" w:rsidRDefault="00457A78" w:rsidP="0096171D">
      <w:pPr>
        <w:pStyle w:val="Zoznam3"/>
      </w:pPr>
      <w:r w:rsidRPr="0089352C">
        <w:t>písomným odstúpením od Zmluvy ktoroukoľvek zo Zmluvných strán</w:t>
      </w:r>
      <w:r w:rsidR="00BB3B02">
        <w:t>.</w:t>
      </w:r>
    </w:p>
    <w:p w14:paraId="4B69B604" w14:textId="2D647148" w:rsidR="00457A78" w:rsidRPr="0089352C" w:rsidRDefault="00457A78" w:rsidP="002D4E67">
      <w:pPr>
        <w:pStyle w:val="Zoznam2"/>
        <w:rPr>
          <w:b/>
        </w:rPr>
      </w:pPr>
      <w:bookmarkStart w:id="11" w:name="_Ref136979293"/>
      <w:r w:rsidRPr="0089352C">
        <w:t>Objednávateľ je oprávnený písomne odstúpiť od Zmluvy v prípade, ak:</w:t>
      </w:r>
      <w:bookmarkEnd w:id="11"/>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3EBCD925" w:rsidR="00457A78" w:rsidRPr="0089352C" w:rsidRDefault="00457A78" w:rsidP="0096171D">
      <w:pPr>
        <w:pStyle w:val="Zoznam3"/>
      </w:pPr>
      <w:r w:rsidRPr="0089352C">
        <w:t xml:space="preserve">Poskytovateľ koná v rozpore s touto Zmluvou a/alebo všeobecne záväznými právnymi predpismi platnými na území </w:t>
      </w:r>
      <w:r w:rsidR="00D77161" w:rsidRPr="00AB4E26">
        <w:t>Slovenskej republiky</w:t>
      </w:r>
      <w:r w:rsidRPr="0089352C">
        <w:t xml:space="preserve">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9"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61BD9568" w:rsidR="00457A78" w:rsidRPr="0089352C" w:rsidRDefault="00457A78" w:rsidP="002D4E67">
      <w:pPr>
        <w:pStyle w:val="Zoznam3"/>
      </w:pPr>
      <w:r w:rsidRPr="0089352C">
        <w:t xml:space="preserve">ak táto Zmluva nemala byť uzavretá s Poskytovateľom v súvislosti so závažným porušením povinnosti vyplývajúcej z právne záväzného aktu Európskej únie, o ktorom rozhodol Súdny dvor Európskej únie </w:t>
      </w:r>
      <w:r w:rsidR="00D77161">
        <w:br/>
      </w:r>
      <w:r w:rsidRPr="0089352C">
        <w:t>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1C514DE8" w:rsidR="00457A78" w:rsidRPr="0089352C" w:rsidRDefault="00457A78" w:rsidP="002D4E67">
      <w:pPr>
        <w:pStyle w:val="Zoznam2"/>
      </w:pPr>
      <w:r w:rsidRPr="0089352C">
        <w:t xml:space="preserve">Poskytovateľ je oprávnený písomne odstúpiť od tejto Zmluvy v prípade, ak Objednávateľ poruší Zmluvu podstatným spôsobom. Za podstatné porušenie tejto Zmluvy zo strany Objednávateľa sa považuje omeškanie s úhradou faktúry o viac ako </w:t>
      </w:r>
      <w:r w:rsidR="007B59B1" w:rsidRPr="00101528">
        <w:t>tridsať (</w:t>
      </w:r>
      <w:r w:rsidRPr="00101528">
        <w:t>30</w:t>
      </w:r>
      <w:r w:rsidR="007B59B1" w:rsidRPr="00101528">
        <w:t>)</w:t>
      </w:r>
      <w:r w:rsidRPr="00101528">
        <w:t xml:space="preserve"> dní po lehote splatnosti faktúry, pričom predpokladom na odstúpenie </w:t>
      </w:r>
      <w:r w:rsidR="00335A8F">
        <w:br/>
      </w:r>
      <w:r w:rsidRPr="00101528">
        <w:t>od Zmluvy z uvedeného dôvodu je, že Poskytovateľ na úhradu dlžnej faktúry Objednávateľa písomne vyzval</w:t>
      </w:r>
      <w:r w:rsidR="00C46B63" w:rsidRPr="00101528">
        <w:t xml:space="preserve">, </w:t>
      </w:r>
      <w:r w:rsidR="00335A8F">
        <w:br/>
      </w:r>
      <w:r w:rsidRPr="00101528">
        <w:t xml:space="preserve">a to tak, že umožnil Objednávateľovi uhradiť dlžnú faktúru v dodatočnej lehote </w:t>
      </w:r>
      <w:r w:rsidR="00E06898" w:rsidRPr="00101528">
        <w:t>sedem (</w:t>
      </w:r>
      <w:r w:rsidRPr="00101528">
        <w:t>7</w:t>
      </w:r>
      <w:r w:rsidR="00E06898" w:rsidRPr="00101528">
        <w:t>)</w:t>
      </w:r>
      <w:r w:rsidRPr="0089352C">
        <w:t xml:space="preserve">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37B8FB62" w:rsidR="00457A78" w:rsidRPr="0089352C" w:rsidRDefault="00457A78" w:rsidP="0096171D">
      <w:pPr>
        <w:pStyle w:val="Zoznam2"/>
      </w:pPr>
      <w:r w:rsidRPr="0089352C">
        <w:lastRenderedPageBreak/>
        <w:t xml:space="preserve">Zmluvná strana, ktorá odstúpi od Zmluvy, má právo požadovať od </w:t>
      </w:r>
      <w:r w:rsidRPr="00634B1A">
        <w:t xml:space="preserve">druhej </w:t>
      </w:r>
      <w:r w:rsidR="000122FB" w:rsidRPr="00634B1A">
        <w:t xml:space="preserve">Zmluvnej </w:t>
      </w:r>
      <w:r w:rsidRPr="00634B1A">
        <w:t>strany</w:t>
      </w:r>
      <w:r w:rsidRPr="0089352C">
        <w:t xml:space="preserve"> náhradu škody, ktorá jej týmto konaním vznikla, okrem prípadov vyššej moci. Pre účely tejto Zmluvy sa za vyššiu moc považujú okolnosti, ktoré vznikli nezávisle od vôle povinnej </w:t>
      </w:r>
      <w:r w:rsidR="00C20DCD" w:rsidRPr="00634B1A">
        <w:t>Z</w:t>
      </w:r>
      <w:r w:rsidRPr="0089352C">
        <w:t xml:space="preserve">mluvnej strany a ktoré spôsobili, že ich vplyvom nie je možné plniť povinnosti vyplývajúce z tejto Zmluvy, a to najmä: vojna, embargo, štrajky, zemetrasenia, živelné katastrofy. </w:t>
      </w:r>
      <w:r w:rsidR="00634B1A">
        <w:br/>
      </w:r>
      <w:r w:rsidRPr="0089352C">
        <w:t>Za vyššiu moc sa nepovažujú výpadky vo výrobe a nezískanie úradných povolení.</w:t>
      </w:r>
    </w:p>
    <w:p w14:paraId="1E5573ED" w14:textId="77777777"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t>Oznámenie poskytované Objednávateľovi bude zaslané na adresu uvedenú nižšie alebo inej osobe alebo na inú adresu, ktorú Objednávateľ priebežne písomne oznámi Poskytovateľovi v súlade s týmto článkom Zmluvy:</w:t>
      </w:r>
    </w:p>
    <w:p w14:paraId="5EDCEABA" w14:textId="6348EA5A" w:rsidR="00457A78" w:rsidRPr="000D38C9" w:rsidRDefault="000D38C9" w:rsidP="0096171D">
      <w:pPr>
        <w:pStyle w:val="Zoznam3"/>
      </w:pPr>
      <w:r w:rsidRPr="000D38C9">
        <w:t>Horská záchranná služba</w:t>
      </w:r>
    </w:p>
    <w:p w14:paraId="5C25C320" w14:textId="5A24D192" w:rsidR="00457A78" w:rsidRPr="0089352C" w:rsidRDefault="000D38C9" w:rsidP="00AB4889">
      <w:pPr>
        <w:pStyle w:val="Odsekzoznamu"/>
        <w:ind w:left="1276" w:firstLine="0"/>
      </w:pPr>
      <w:r>
        <w:t>Horný Smokovec 17052,</w:t>
      </w:r>
      <w:r w:rsidR="00010534">
        <w:t xml:space="preserve"> </w:t>
      </w:r>
      <w:r>
        <w:t>062 01 Vysoké Tatry</w:t>
      </w:r>
      <w:r w:rsidR="00457A78" w:rsidRPr="0089352C">
        <w:t xml:space="preserve"> </w:t>
      </w:r>
    </w:p>
    <w:p w14:paraId="2FBB8F7F" w14:textId="2631B263" w:rsidR="00457A78" w:rsidRPr="0089352C" w:rsidRDefault="00457A78" w:rsidP="00AB4889">
      <w:pPr>
        <w:pStyle w:val="Odsekzoznamu"/>
        <w:ind w:left="1276" w:firstLine="0"/>
      </w:pPr>
      <w:r w:rsidRPr="0089352C">
        <w:t xml:space="preserve">k rukám: </w:t>
      </w:r>
      <w:r w:rsidR="000D38C9">
        <w:rPr>
          <w:rFonts w:eastAsia="Arial Unicode MS"/>
        </w:rPr>
        <w:t xml:space="preserve">Peter </w:t>
      </w:r>
      <w:proofErr w:type="spellStart"/>
      <w:r w:rsidR="000D38C9">
        <w:rPr>
          <w:rFonts w:eastAsia="Arial Unicode MS"/>
        </w:rPr>
        <w:t>Adamuv</w:t>
      </w:r>
      <w:proofErr w:type="spellEnd"/>
    </w:p>
    <w:p w14:paraId="497CD20E" w14:textId="7C769519" w:rsidR="00457A78" w:rsidRPr="0089352C" w:rsidRDefault="00457A78" w:rsidP="00AB4889">
      <w:pPr>
        <w:pStyle w:val="Odsekzoznamu"/>
        <w:ind w:left="1276" w:firstLine="0"/>
        <w:rPr>
          <w:b/>
          <w:bCs/>
        </w:rPr>
      </w:pPr>
      <w:r w:rsidRPr="0089352C">
        <w:t xml:space="preserve">email: </w:t>
      </w:r>
      <w:r w:rsidR="000D38C9">
        <w:rPr>
          <w:rFonts w:eastAsia="Arial Unicode MS"/>
        </w:rPr>
        <w:t>adamuv@hzs</w:t>
      </w:r>
      <w:r w:rsidR="00881EA9" w:rsidRPr="0089352C">
        <w:rPr>
          <w:rFonts w:eastAsia="Arial Unicode MS"/>
        </w:rPr>
        <w:t>.sk</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89352C">
        <w:rPr>
          <w:rFonts w:eastAsia="Arial Unicode MS"/>
        </w:rPr>
        <w:t>[ • ]</w:t>
      </w:r>
    </w:p>
    <w:p w14:paraId="46AC8719" w14:textId="77777777" w:rsidR="00457A78" w:rsidRPr="0089352C" w:rsidRDefault="00457A78" w:rsidP="00AB4889">
      <w:pPr>
        <w:pStyle w:val="Odsekzoznamu"/>
        <w:ind w:left="1276" w:firstLine="0"/>
        <w:rPr>
          <w:rFonts w:eastAsia="Arial Unicode MS"/>
        </w:rPr>
      </w:pPr>
      <w:r w:rsidRPr="0089352C">
        <w:rPr>
          <w:rFonts w:eastAsia="Arial Unicode MS"/>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7AAD30EB" w:rsidR="00457A78" w:rsidRPr="0089352C" w:rsidRDefault="00457A78" w:rsidP="00AB4889">
      <w:pPr>
        <w:pStyle w:val="Zoznam2"/>
      </w:pPr>
      <w:r w:rsidRPr="0089352C">
        <w:t xml:space="preserve">Ak pripadne deň splnenia nejakej povinnosti jednej zo </w:t>
      </w:r>
      <w:r w:rsidR="00AC2438" w:rsidRPr="00907BDF">
        <w:t>Z</w:t>
      </w:r>
      <w:r w:rsidRPr="0089352C">
        <w:t>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lastRenderedPageBreak/>
        <w:t>Zmluvné strany sa dohodli, že Poskytovateľ nie je oprávnený jednostranne započítať akúkoľvek svoju pohľadávku voči pohľadávkam Objednávateľa.</w:t>
      </w:r>
    </w:p>
    <w:p w14:paraId="7659B48C" w14:textId="46FF6989" w:rsidR="00457A78" w:rsidRPr="00105FE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4F80827D" w14:textId="101AC776" w:rsidR="00105FEC" w:rsidRDefault="00105FEC" w:rsidP="00105FEC">
      <w:pPr>
        <w:pStyle w:val="Zoznam2"/>
        <w:numPr>
          <w:ilvl w:val="0"/>
          <w:numId w:val="0"/>
        </w:numPr>
        <w:ind w:left="578"/>
        <w:rPr>
          <w:b/>
        </w:rPr>
      </w:pPr>
    </w:p>
    <w:p w14:paraId="6E62A95F" w14:textId="77777777" w:rsidR="00105FEC" w:rsidRPr="0089352C" w:rsidRDefault="00105FEC" w:rsidP="00105FEC">
      <w:pPr>
        <w:pStyle w:val="Zoznam2"/>
        <w:numPr>
          <w:ilvl w:val="0"/>
          <w:numId w:val="0"/>
        </w:numPr>
        <w:ind w:left="578"/>
        <w:rPr>
          <w:b/>
        </w:rPr>
      </w:pP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13AB210" w:rsidR="00457A78" w:rsidRPr="0089352C" w:rsidRDefault="00457A78" w:rsidP="00AB4889">
      <w:pPr>
        <w:pStyle w:val="Zoznam3"/>
      </w:pPr>
      <w:r w:rsidRPr="0089352C">
        <w:t>Príloha č.</w:t>
      </w:r>
      <w:r w:rsidR="00AB4889" w:rsidRPr="0089352C">
        <w:t xml:space="preserve"> </w:t>
      </w:r>
      <w:r w:rsidRPr="0089352C">
        <w:t xml:space="preserve">2 </w:t>
      </w:r>
      <w:r w:rsidRPr="0089352C">
        <w:tab/>
        <w:t xml:space="preserve">Predpokladaný objem odberu a </w:t>
      </w:r>
      <w:r w:rsidRPr="00907BDF">
        <w:t xml:space="preserve">zoznam </w:t>
      </w:r>
      <w:r w:rsidR="00AC2438" w:rsidRPr="00907BDF">
        <w:t>O</w:t>
      </w:r>
      <w:r w:rsidRPr="0089352C">
        <w:t>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14FD5FFB"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 xml:space="preserve">a že túto Zmluvu neuzavreli ani v tiesni ani za nápadne nevýhodných podmienok, čo potvrdzujú podpisom tejto Zmluvy. Zmluvné strany tiež vyhlasujú, že sú oprávnené s predmetom Zmluvy nakladať, zmluvné prejavy druhej </w:t>
      </w:r>
      <w:r w:rsidR="00647439" w:rsidRPr="005F378B">
        <w:t>Z</w:t>
      </w:r>
      <w:r w:rsidRPr="0089352C">
        <w:t xml:space="preserve">mluvnej strany sú im dostatočne zrozumiteľné a určité, ich zmluvná voľnosť nie je ničím obmedzená </w:t>
      </w:r>
      <w:r w:rsidR="008B5A34">
        <w:br/>
      </w:r>
      <w:r w:rsidRPr="0089352C">
        <w:t>a právny úkon je urobený v predpísanej forme, na znak čoho túto Zmluvu podpísali.</w:t>
      </w:r>
    </w:p>
    <w:p w14:paraId="0C0A5156" w14:textId="1DA2F04B" w:rsidR="00457A78" w:rsidRDefault="00457A78" w:rsidP="00AB4889">
      <w:pPr>
        <w:pStyle w:val="Zoznam2"/>
      </w:pPr>
      <w:r w:rsidRPr="0089352C">
        <w:t>Táto Zmluva je vyhotovená v piatich (5) rovnopisoch v slovenskom jazyku, z ktorých každý je považovaný za originál. Dve (2) vyhotovenia Zmluvy dostane Poskytovateľ a tri (3) vyhotovenia dostane Objednávateľ.</w:t>
      </w:r>
    </w:p>
    <w:p w14:paraId="0EE93EEC" w14:textId="251F96C3" w:rsidR="00105FEC" w:rsidRDefault="00105FEC" w:rsidP="00105FEC">
      <w:pPr>
        <w:pStyle w:val="Zoznam2"/>
        <w:numPr>
          <w:ilvl w:val="0"/>
          <w:numId w:val="0"/>
        </w:numPr>
        <w:ind w:left="578"/>
      </w:pPr>
    </w:p>
    <w:p w14:paraId="47E78511" w14:textId="17E8A8EE" w:rsidR="00105FEC" w:rsidRDefault="00105FEC" w:rsidP="00105FEC">
      <w:pPr>
        <w:pStyle w:val="Zoznam2"/>
        <w:numPr>
          <w:ilvl w:val="0"/>
          <w:numId w:val="0"/>
        </w:numPr>
        <w:ind w:left="578"/>
      </w:pPr>
    </w:p>
    <w:p w14:paraId="53A57E70" w14:textId="77777777" w:rsidR="00105FEC" w:rsidRPr="0089352C" w:rsidRDefault="00105FEC" w:rsidP="00105FEC">
      <w:pPr>
        <w:pStyle w:val="Zoznam2"/>
        <w:numPr>
          <w:ilvl w:val="0"/>
          <w:numId w:val="0"/>
        </w:numPr>
        <w:ind w:left="578"/>
      </w:pPr>
    </w:p>
    <w:p w14:paraId="34C6EB23" w14:textId="69EB1FE5" w:rsidR="00457A78" w:rsidRPr="0089352C" w:rsidRDefault="00457A78" w:rsidP="00AB4889">
      <w:pPr>
        <w:pStyle w:val="Zoznam2"/>
      </w:pPr>
      <w:r w:rsidRPr="0089352C">
        <w:lastRenderedPageBreak/>
        <w:t>Táto Zmluva nadobúda platnosť dňom jej podpisu obidvoma Zmluvnými stranami a</w:t>
      </w:r>
      <w:r w:rsidR="008D6379" w:rsidRPr="0089352C">
        <w:t xml:space="preserve"> </w:t>
      </w:r>
      <w:r w:rsidRPr="0089352C">
        <w:t xml:space="preserve">účinnosť dňa 01.01.2024, </w:t>
      </w:r>
      <w:r w:rsidR="008B5A34">
        <w:br/>
      </w:r>
      <w:r w:rsidRPr="0089352C">
        <w:t>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C5E1DF5" w:rsidR="00457A78" w:rsidRPr="0089352C" w:rsidRDefault="00457A78" w:rsidP="00457A78">
      <w:pPr>
        <w:rPr>
          <w:rFonts w:eastAsia="Calibri"/>
        </w:rPr>
      </w:pPr>
      <w:r w:rsidRPr="0089352C">
        <w:rPr>
          <w:rFonts w:eastAsia="Calibri"/>
        </w:rPr>
        <w:t>V</w:t>
      </w:r>
      <w:r w:rsidR="007F5E9B">
        <w:rPr>
          <w:rFonts w:eastAsia="Calibri"/>
        </w:rPr>
        <w:t>o Vysokých Tatrách</w:t>
      </w:r>
      <w:r w:rsidRPr="0089352C">
        <w:rPr>
          <w:rFonts w:eastAsia="Calibri"/>
        </w:rPr>
        <w:t>, dňa</w:t>
      </w:r>
      <w:r w:rsidR="008D6379" w:rsidRPr="0089352C">
        <w:rPr>
          <w:rFonts w:eastAsia="Calibri"/>
        </w:rPr>
        <w:t xml:space="preserve">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 xml:space="preserve">V Bratislave, dňa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7208B56C" w:rsidR="00457A78" w:rsidRPr="0089352C" w:rsidRDefault="00457A78" w:rsidP="00457A78">
      <w:pPr>
        <w:rPr>
          <w:rFonts w:eastAsia="Calibri"/>
        </w:rPr>
      </w:pPr>
      <w:r w:rsidRPr="0089352C">
        <w:rPr>
          <w:rFonts w:eastAsia="Calibri"/>
        </w:rPr>
        <w:t xml:space="preserve">Za </w:t>
      </w:r>
      <w:r w:rsidR="00DA441C" w:rsidRPr="00945C73">
        <w:rPr>
          <w:rFonts w:eastAsia="Calibri"/>
        </w:rPr>
        <w:t>Horskú z</w:t>
      </w:r>
      <w:r w:rsidR="00AF21DF" w:rsidRPr="00945C73">
        <w:rPr>
          <w:rFonts w:eastAsia="Calibri"/>
        </w:rPr>
        <w:t>áchrannú službu</w:t>
      </w:r>
      <w:r w:rsidRPr="0089352C">
        <w:rPr>
          <w:rFonts w:eastAsia="Calibri"/>
        </w:rPr>
        <w:t>:</w:t>
      </w:r>
      <w:r w:rsidRPr="0089352C">
        <w:rPr>
          <w:rFonts w:eastAsia="Calibri"/>
        </w:rPr>
        <w:tab/>
      </w:r>
      <w:r w:rsidRPr="0089352C">
        <w:rPr>
          <w:rFonts w:eastAsia="Calibri"/>
        </w:rPr>
        <w:tab/>
      </w:r>
      <w:r w:rsidRPr="0089352C">
        <w:rPr>
          <w:rFonts w:eastAsia="Calibri"/>
        </w:rPr>
        <w:tab/>
      </w:r>
      <w:r w:rsidR="00945C73">
        <w:rPr>
          <w:rFonts w:eastAsia="Calibri"/>
        </w:rPr>
        <w:t xml:space="preserve">                             </w:t>
      </w:r>
      <w:r w:rsidRPr="0089352C">
        <w:rPr>
          <w:rFonts w:eastAsia="Calibri"/>
        </w:rPr>
        <w:t xml:space="preserve">Za </w:t>
      </w:r>
      <w:r w:rsidRPr="0089352C">
        <w:rPr>
          <w:rFonts w:eastAsia="Arial Unicode MS"/>
        </w:rPr>
        <w:t>[ • ]</w:t>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0422660D" w:rsidR="00457A78" w:rsidRPr="0089352C" w:rsidRDefault="00AF21DF" w:rsidP="00457A78">
      <w:r>
        <w:rPr>
          <w:rFonts w:eastAsia="Arial Unicode MS"/>
        </w:rPr>
        <w:t xml:space="preserve">           </w:t>
      </w:r>
      <w:r w:rsidRPr="00945C73">
        <w:rPr>
          <w:rFonts w:eastAsia="Arial Unicode MS"/>
        </w:rPr>
        <w:t xml:space="preserve">plk. Mgr. Marek </w:t>
      </w:r>
      <w:proofErr w:type="spellStart"/>
      <w:r w:rsidRPr="00945C73">
        <w:rPr>
          <w:rFonts w:eastAsia="Arial Unicode MS"/>
        </w:rPr>
        <w:t>Biskupič</w:t>
      </w:r>
      <w:proofErr w:type="spellEnd"/>
      <w:r w:rsidRPr="00945C73">
        <w:rPr>
          <w:rFonts w:eastAsia="Arial Unicode MS"/>
        </w:rPr>
        <w:t xml:space="preserve">, </w:t>
      </w:r>
      <w:proofErr w:type="spellStart"/>
      <w:r w:rsidRPr="00945C73">
        <w:rPr>
          <w:rFonts w:eastAsia="Arial Unicode MS"/>
        </w:rPr>
        <w:t>Ph.D</w:t>
      </w:r>
      <w:proofErr w:type="spellEnd"/>
      <w:r w:rsidRPr="00945C73">
        <w:rPr>
          <w:rFonts w:eastAsia="Arial Unicode MS"/>
        </w:rPr>
        <w:t>.</w:t>
      </w:r>
      <w:r w:rsidR="00457A78" w:rsidRPr="0089352C">
        <w:tab/>
      </w:r>
      <w:r w:rsidR="00457A78" w:rsidRPr="0089352C">
        <w:tab/>
      </w:r>
      <w:r w:rsidR="00457A78" w:rsidRPr="0089352C">
        <w:tab/>
      </w:r>
      <w:r w:rsidR="00457A78" w:rsidRPr="0089352C">
        <w:tab/>
      </w:r>
      <w:r w:rsidR="00457A78" w:rsidRPr="0089352C">
        <w:rPr>
          <w:rFonts w:eastAsia="Arial Unicode MS"/>
        </w:rPr>
        <w:t>[ • ]</w:t>
      </w:r>
    </w:p>
    <w:p w14:paraId="6A72D960" w14:textId="5BE4A87B" w:rsidR="00457A78" w:rsidRPr="0089352C" w:rsidRDefault="00AF21DF" w:rsidP="00457A78">
      <w:pPr>
        <w:rPr>
          <w:rFonts w:eastAsia="Calibri"/>
        </w:rPr>
      </w:pPr>
      <w:r>
        <w:rPr>
          <w:rFonts w:eastAsia="Arial Unicode MS"/>
        </w:rPr>
        <w:t xml:space="preserve">                             </w:t>
      </w:r>
      <w:r w:rsidRPr="00945C73">
        <w:rPr>
          <w:rFonts w:eastAsia="Arial Unicode MS"/>
        </w:rPr>
        <w:t>riaditeľ</w:t>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Calibri"/>
        </w:rPr>
        <w:tab/>
      </w:r>
      <w:r w:rsidR="00457A78" w:rsidRPr="0089352C">
        <w:rPr>
          <w:rFonts w:eastAsia="Arial Unicode MS"/>
        </w:rPr>
        <w:t>[ • ]</w:t>
      </w:r>
    </w:p>
    <w:p w14:paraId="530A24AC" w14:textId="77777777" w:rsidR="00457A78" w:rsidRPr="0089352C" w:rsidRDefault="00457A78" w:rsidP="00457A78">
      <w:pPr>
        <w:rPr>
          <w:rFonts w:eastAsia="Calibri"/>
        </w:rPr>
      </w:pPr>
    </w:p>
    <w:p w14:paraId="472DAA6F" w14:textId="77777777" w:rsidR="00457A78" w:rsidRPr="0089352C" w:rsidRDefault="00457A78" w:rsidP="00457A78">
      <w:pPr>
        <w:rPr>
          <w:rFonts w:eastAsia="Calibri"/>
        </w:rPr>
      </w:pPr>
    </w:p>
    <w:p w14:paraId="3DF036E5" w14:textId="77777777" w:rsidR="00457A78" w:rsidRPr="0089352C" w:rsidRDefault="00457A78" w:rsidP="00457A78"/>
    <w:p w14:paraId="4376CF79" w14:textId="77777777" w:rsidR="00457A78" w:rsidRPr="0089352C" w:rsidRDefault="00457A78" w:rsidP="00457A78"/>
    <w:p w14:paraId="40023E75" w14:textId="77777777" w:rsidR="00457A78" w:rsidRPr="0089352C" w:rsidRDefault="00457A78" w:rsidP="00457A78"/>
    <w:p w14:paraId="3122DEC1" w14:textId="77777777" w:rsidR="00457A78" w:rsidRPr="0089352C" w:rsidRDefault="00457A78" w:rsidP="00457A78"/>
    <w:p w14:paraId="21C85A32" w14:textId="77777777" w:rsidR="00457A78" w:rsidRPr="0089352C" w:rsidRDefault="00457A78" w:rsidP="00457A78"/>
    <w:p w14:paraId="1E38FFF7" w14:textId="77777777" w:rsidR="00457A78" w:rsidRPr="0089352C" w:rsidRDefault="00457A78" w:rsidP="00457A78"/>
    <w:p w14:paraId="0BC06B5E" w14:textId="77777777" w:rsidR="00457A78" w:rsidRPr="0089352C" w:rsidRDefault="00457A78" w:rsidP="00457A78"/>
    <w:p w14:paraId="6FE3B74F" w14:textId="77777777" w:rsidR="00457A78" w:rsidRPr="0089352C" w:rsidRDefault="00457A78" w:rsidP="00457A78"/>
    <w:p w14:paraId="0DFC3A74" w14:textId="77777777" w:rsidR="00457A78" w:rsidRPr="0089352C" w:rsidRDefault="00457A78" w:rsidP="00457A78"/>
    <w:p w14:paraId="205B2539" w14:textId="77777777" w:rsidR="00457A78" w:rsidRPr="0089352C" w:rsidRDefault="00457A78" w:rsidP="00457A78"/>
    <w:p w14:paraId="63AFAE35" w14:textId="77777777" w:rsidR="00457A78" w:rsidRPr="0089352C" w:rsidRDefault="00457A78" w:rsidP="00457A78"/>
    <w:p w14:paraId="65BB116D" w14:textId="77777777" w:rsidR="00457A78" w:rsidRPr="0089352C" w:rsidRDefault="00457A78" w:rsidP="00457A78"/>
    <w:p w14:paraId="54986B32" w14:textId="77777777" w:rsidR="00457A78" w:rsidRPr="0089352C" w:rsidRDefault="00457A78" w:rsidP="00457A78"/>
    <w:p w14:paraId="7F6841E1" w14:textId="5CDD79D9" w:rsidR="00457A78" w:rsidRPr="0089352C" w:rsidRDefault="00457A78" w:rsidP="00457A78">
      <w:pPr>
        <w:jc w:val="center"/>
        <w:rPr>
          <w:b/>
          <w:bCs/>
        </w:rPr>
      </w:pPr>
    </w:p>
    <w:p w14:paraId="379870E5" w14:textId="6E2FCCB7" w:rsidR="00FC106F" w:rsidRPr="0089352C" w:rsidRDefault="00FC106F" w:rsidP="00457A78">
      <w:pPr>
        <w:jc w:val="center"/>
        <w:rPr>
          <w:b/>
          <w:bCs/>
        </w:rPr>
      </w:pPr>
    </w:p>
    <w:p w14:paraId="3ACD8C48" w14:textId="7A8B6D1C" w:rsidR="00FC106F" w:rsidRPr="0089352C" w:rsidRDefault="00FC106F" w:rsidP="00457A78">
      <w:pPr>
        <w:jc w:val="center"/>
        <w:rPr>
          <w:b/>
          <w:bCs/>
        </w:rPr>
      </w:pPr>
    </w:p>
    <w:p w14:paraId="51E5CBE6" w14:textId="77CC12CA" w:rsidR="00FC106F" w:rsidRPr="0089352C" w:rsidRDefault="00FC106F" w:rsidP="00457A78">
      <w:pPr>
        <w:jc w:val="center"/>
        <w:rPr>
          <w:b/>
          <w:bCs/>
        </w:rPr>
      </w:pPr>
    </w:p>
    <w:p w14:paraId="6AF9C039" w14:textId="0A5039D4" w:rsidR="00FC106F" w:rsidRPr="0089352C" w:rsidRDefault="00FC106F" w:rsidP="00457A78">
      <w:pPr>
        <w:jc w:val="center"/>
        <w:rPr>
          <w:b/>
          <w:bCs/>
        </w:rPr>
      </w:pPr>
    </w:p>
    <w:p w14:paraId="42C73BE1" w14:textId="7050F39D" w:rsidR="00FC106F" w:rsidRPr="0089352C" w:rsidRDefault="00FC106F" w:rsidP="00457A78">
      <w:pPr>
        <w:jc w:val="center"/>
        <w:rPr>
          <w:b/>
          <w:bCs/>
        </w:rPr>
      </w:pPr>
    </w:p>
    <w:p w14:paraId="6C9EB5CF" w14:textId="1FB1B612" w:rsidR="00FC106F" w:rsidRPr="0089352C" w:rsidRDefault="00FC106F" w:rsidP="00457A78">
      <w:pPr>
        <w:jc w:val="center"/>
        <w:rPr>
          <w:b/>
          <w:bCs/>
        </w:rPr>
      </w:pPr>
    </w:p>
    <w:p w14:paraId="7FA28B5B" w14:textId="77777777" w:rsidR="00FC106F" w:rsidRPr="0089352C" w:rsidRDefault="00FC106F" w:rsidP="00457A78">
      <w:pPr>
        <w:jc w:val="center"/>
        <w:rPr>
          <w:b/>
          <w:bCs/>
        </w:rPr>
      </w:pPr>
    </w:p>
    <w:p w14:paraId="3D954DC2" w14:textId="6038A312" w:rsidR="00457A78" w:rsidRPr="0089352C" w:rsidRDefault="00457A78" w:rsidP="00457A78">
      <w:pPr>
        <w:pStyle w:val="Nadpis2"/>
      </w:pPr>
      <w:r w:rsidRPr="0089352C">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2" w:name="OLE_LINK94"/>
      <w:r w:rsidRPr="0089352C">
        <w:t>Predpokladaný objem odberu</w:t>
      </w:r>
      <w:bookmarkEnd w:id="12"/>
      <w:r w:rsidRPr="0089352C">
        <w:t xml:space="preserve"> a zoznam Odberných miest</w:t>
      </w:r>
    </w:p>
    <w:p w14:paraId="08B37D03" w14:textId="77777777" w:rsidR="00457A78" w:rsidRPr="0089352C" w:rsidRDefault="00457A78" w:rsidP="00457A78">
      <w:pPr>
        <w:rPr>
          <w:b/>
          <w:bCs/>
        </w:rPr>
      </w:pPr>
    </w:p>
    <w:p w14:paraId="68CFA06C" w14:textId="5F9D15C6" w:rsidR="00457A78" w:rsidRPr="0089352C" w:rsidRDefault="00457A78" w:rsidP="00457A78">
      <w:pPr>
        <w:pStyle w:val="Odsekzoznamu"/>
        <w:ind w:left="0"/>
      </w:pPr>
      <w:bookmarkStart w:id="13" w:name="OLE_LINK5"/>
      <w:bookmarkStart w:id="14" w:name="OLE_LINK95"/>
      <w:bookmarkStart w:id="15" w:name="OLE_LINK122"/>
      <w:r w:rsidRPr="0089352C">
        <w:t>Predpokladaný objem odobrat</w:t>
      </w:r>
      <w:bookmarkEnd w:id="13"/>
      <w:r w:rsidRPr="0089352C">
        <w:t xml:space="preserve">ého </w:t>
      </w:r>
      <w:bookmarkStart w:id="16" w:name="OLE_LINK99"/>
      <w:bookmarkStart w:id="17" w:name="OLE_LINK121"/>
      <w:r w:rsidRPr="0089352C">
        <w:t xml:space="preserve">plynu </w:t>
      </w:r>
      <w:bookmarkEnd w:id="16"/>
      <w:r w:rsidRPr="0089352C">
        <w:t xml:space="preserve">počas </w:t>
      </w:r>
      <w:bookmarkEnd w:id="14"/>
      <w:r w:rsidRPr="0089352C">
        <w:t xml:space="preserve">Zmluvného obdobia: </w:t>
      </w:r>
      <w:r w:rsidR="006E2F7A">
        <w:rPr>
          <w:rFonts w:cs="Arial"/>
          <w:b/>
          <w:bCs/>
        </w:rPr>
        <w:t>1 203 000</w:t>
      </w:r>
      <w:r w:rsidR="006D56B2">
        <w:rPr>
          <w:rFonts w:cs="Arial"/>
          <w:b/>
          <w:bCs/>
        </w:rPr>
        <w:t xml:space="preserve"> </w:t>
      </w:r>
      <w:r w:rsidR="006D56B2">
        <w:rPr>
          <w:b/>
          <w:bCs/>
        </w:rPr>
        <w:t>k</w:t>
      </w:r>
      <w:r w:rsidRPr="0089352C">
        <w:rPr>
          <w:b/>
          <w:bCs/>
        </w:rPr>
        <w:t>Wh</w:t>
      </w:r>
      <w:r w:rsidRPr="0089352C">
        <w:t xml:space="preserve"> (ďalej ako „</w:t>
      </w:r>
      <w:bookmarkStart w:id="18" w:name="OLE_LINK100"/>
      <w:r w:rsidRPr="0089352C">
        <w:rPr>
          <w:b/>
          <w:bCs/>
        </w:rPr>
        <w:t>Predpokladaný odber</w:t>
      </w:r>
      <w:bookmarkEnd w:id="18"/>
      <w:r w:rsidRPr="0089352C">
        <w:t>“)</w:t>
      </w:r>
    </w:p>
    <w:bookmarkEnd w:id="15"/>
    <w:bookmarkEnd w:id="17"/>
    <w:p w14:paraId="4D340A9B" w14:textId="77777777" w:rsidR="005F48BF" w:rsidRPr="0089352C" w:rsidRDefault="005F48BF" w:rsidP="00457A78">
      <w:pPr>
        <w:pStyle w:val="Odsekzoznamu"/>
        <w:ind w:left="0"/>
      </w:pPr>
    </w:p>
    <w:p w14:paraId="500AB0FF" w14:textId="77777777" w:rsidR="005F48BF" w:rsidRPr="0089352C" w:rsidRDefault="005F48BF" w:rsidP="00457A78">
      <w:pPr>
        <w:pStyle w:val="Odsekzoznamu"/>
        <w:ind w:left="0"/>
      </w:pPr>
    </w:p>
    <w:p w14:paraId="5A89337C" w14:textId="63051751" w:rsidR="00457A78" w:rsidRPr="0089352C" w:rsidRDefault="00457A78" w:rsidP="00457A78">
      <w:pPr>
        <w:pStyle w:val="Odsekzoznamu"/>
        <w:ind w:left="0"/>
        <w:rPr>
          <w:b/>
        </w:rPr>
      </w:pPr>
      <w:r w:rsidRPr="0089352C">
        <w:rPr>
          <w:b/>
        </w:rPr>
        <w:t>Tabuľka č. 1 – Zoznam Odberných miest Objednávateľa</w:t>
      </w:r>
    </w:p>
    <w:p w14:paraId="3B238D2D" w14:textId="577C780A" w:rsidR="00F5166C" w:rsidRPr="0089352C" w:rsidRDefault="00F5166C" w:rsidP="00457A78">
      <w:pPr>
        <w:pStyle w:val="Odsekzoznamu"/>
        <w:ind w:left="0"/>
      </w:pPr>
    </w:p>
    <w:tbl>
      <w:tblPr>
        <w:tblW w:w="5000" w:type="pct"/>
        <w:tblLayout w:type="fixed"/>
        <w:tblCellMar>
          <w:left w:w="70" w:type="dxa"/>
          <w:right w:w="70" w:type="dxa"/>
        </w:tblCellMar>
        <w:tblLook w:val="04A0" w:firstRow="1" w:lastRow="0" w:firstColumn="1" w:lastColumn="0" w:noHBand="0" w:noVBand="1"/>
      </w:tblPr>
      <w:tblGrid>
        <w:gridCol w:w="426"/>
        <w:gridCol w:w="1134"/>
        <w:gridCol w:w="1377"/>
        <w:gridCol w:w="1317"/>
        <w:gridCol w:w="2268"/>
        <w:gridCol w:w="1415"/>
        <w:gridCol w:w="1705"/>
      </w:tblGrid>
      <w:tr w:rsidR="006E2F7A" w:rsidRPr="000D12AE" w14:paraId="2D107F75" w14:textId="77777777" w:rsidTr="006E2F7A">
        <w:trPr>
          <w:trHeight w:val="252"/>
        </w:trPr>
        <w:tc>
          <w:tcPr>
            <w:tcW w:w="809" w:type="pct"/>
            <w:gridSpan w:val="2"/>
            <w:tcBorders>
              <w:top w:val="nil"/>
              <w:left w:val="nil"/>
              <w:bottom w:val="nil"/>
              <w:right w:val="nil"/>
            </w:tcBorders>
            <w:shd w:val="clear" w:color="auto" w:fill="auto"/>
            <w:noWrap/>
            <w:vAlign w:val="bottom"/>
            <w:hideMark/>
          </w:tcPr>
          <w:p w14:paraId="06B3114A" w14:textId="626201AD" w:rsidR="006E2F7A" w:rsidRPr="000D12AE" w:rsidRDefault="006E2F7A" w:rsidP="000122FB">
            <w:pPr>
              <w:rPr>
                <w:rFonts w:cs="Arial"/>
                <w:lang w:eastAsia="sk-SK"/>
              </w:rPr>
            </w:pPr>
          </w:p>
        </w:tc>
        <w:tc>
          <w:tcPr>
            <w:tcW w:w="714" w:type="pct"/>
            <w:tcBorders>
              <w:top w:val="nil"/>
              <w:left w:val="nil"/>
              <w:bottom w:val="nil"/>
              <w:right w:val="nil"/>
            </w:tcBorders>
            <w:shd w:val="clear" w:color="auto" w:fill="auto"/>
            <w:noWrap/>
            <w:vAlign w:val="bottom"/>
            <w:hideMark/>
          </w:tcPr>
          <w:p w14:paraId="1EAAF317" w14:textId="77777777" w:rsidR="006E2F7A" w:rsidRPr="000D12AE" w:rsidRDefault="006E2F7A" w:rsidP="000122FB">
            <w:pPr>
              <w:rPr>
                <w:rFonts w:cs="Arial"/>
                <w:lang w:eastAsia="sk-SK"/>
              </w:rPr>
            </w:pPr>
          </w:p>
        </w:tc>
        <w:tc>
          <w:tcPr>
            <w:tcW w:w="683" w:type="pct"/>
            <w:tcBorders>
              <w:top w:val="nil"/>
              <w:left w:val="nil"/>
              <w:bottom w:val="nil"/>
              <w:right w:val="nil"/>
            </w:tcBorders>
            <w:shd w:val="clear" w:color="auto" w:fill="auto"/>
            <w:noWrap/>
            <w:vAlign w:val="bottom"/>
            <w:hideMark/>
          </w:tcPr>
          <w:p w14:paraId="1F3C7D78" w14:textId="77777777" w:rsidR="006E2F7A" w:rsidRPr="000D12AE" w:rsidRDefault="006E2F7A" w:rsidP="000122FB">
            <w:pPr>
              <w:rPr>
                <w:rFonts w:ascii="Times New Roman" w:hAnsi="Times New Roman"/>
                <w:lang w:eastAsia="sk-SK"/>
              </w:rPr>
            </w:pPr>
          </w:p>
        </w:tc>
        <w:tc>
          <w:tcPr>
            <w:tcW w:w="1176" w:type="pct"/>
            <w:tcBorders>
              <w:top w:val="nil"/>
              <w:left w:val="nil"/>
              <w:bottom w:val="nil"/>
              <w:right w:val="nil"/>
            </w:tcBorders>
            <w:shd w:val="clear" w:color="auto" w:fill="auto"/>
            <w:noWrap/>
            <w:vAlign w:val="bottom"/>
            <w:hideMark/>
          </w:tcPr>
          <w:p w14:paraId="6EA61C56" w14:textId="77777777" w:rsidR="006E2F7A" w:rsidRPr="000D12AE" w:rsidRDefault="006E2F7A" w:rsidP="000122FB">
            <w:pPr>
              <w:rPr>
                <w:rFonts w:ascii="Times New Roman" w:hAnsi="Times New Roman"/>
                <w:lang w:eastAsia="sk-SK"/>
              </w:rPr>
            </w:pPr>
          </w:p>
        </w:tc>
        <w:tc>
          <w:tcPr>
            <w:tcW w:w="734" w:type="pct"/>
            <w:tcBorders>
              <w:top w:val="nil"/>
              <w:left w:val="nil"/>
              <w:bottom w:val="nil"/>
              <w:right w:val="nil"/>
            </w:tcBorders>
            <w:shd w:val="clear" w:color="auto" w:fill="auto"/>
            <w:noWrap/>
            <w:vAlign w:val="bottom"/>
            <w:hideMark/>
          </w:tcPr>
          <w:p w14:paraId="759A14D6" w14:textId="77777777" w:rsidR="006E2F7A" w:rsidRPr="000D12AE" w:rsidRDefault="006E2F7A" w:rsidP="000122FB">
            <w:pPr>
              <w:rPr>
                <w:rFonts w:ascii="Times New Roman" w:hAnsi="Times New Roman"/>
                <w:lang w:eastAsia="sk-SK"/>
              </w:rPr>
            </w:pPr>
          </w:p>
        </w:tc>
        <w:tc>
          <w:tcPr>
            <w:tcW w:w="884" w:type="pct"/>
            <w:tcBorders>
              <w:top w:val="nil"/>
              <w:left w:val="nil"/>
              <w:bottom w:val="nil"/>
              <w:right w:val="nil"/>
            </w:tcBorders>
            <w:shd w:val="clear" w:color="auto" w:fill="auto"/>
            <w:noWrap/>
            <w:vAlign w:val="bottom"/>
            <w:hideMark/>
          </w:tcPr>
          <w:p w14:paraId="331E50DA" w14:textId="77777777" w:rsidR="006E2F7A" w:rsidRPr="000D12AE" w:rsidRDefault="006E2F7A" w:rsidP="000122FB">
            <w:pPr>
              <w:rPr>
                <w:rFonts w:ascii="Times New Roman" w:hAnsi="Times New Roman"/>
                <w:lang w:eastAsia="sk-SK"/>
              </w:rPr>
            </w:pPr>
          </w:p>
        </w:tc>
      </w:tr>
      <w:tr w:rsidR="006E2F7A" w:rsidRPr="000D12AE" w14:paraId="0A3CD438" w14:textId="77777777" w:rsidTr="006E2F7A">
        <w:trPr>
          <w:trHeight w:val="1543"/>
        </w:trPr>
        <w:tc>
          <w:tcPr>
            <w:tcW w:w="22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CF6712F" w14:textId="77777777" w:rsidR="006E2F7A" w:rsidRPr="000D12AE" w:rsidRDefault="006E2F7A" w:rsidP="000122FB">
            <w:pPr>
              <w:jc w:val="center"/>
              <w:rPr>
                <w:rFonts w:cs="Arial"/>
                <w:b/>
                <w:bCs/>
                <w:lang w:eastAsia="sk-SK"/>
              </w:rPr>
            </w:pPr>
            <w:r w:rsidRPr="000D12AE">
              <w:rPr>
                <w:rFonts w:cs="Arial"/>
                <w:b/>
                <w:bCs/>
                <w:lang w:eastAsia="sk-SK"/>
              </w:rPr>
              <w:t>Č.</w:t>
            </w:r>
          </w:p>
        </w:tc>
        <w:tc>
          <w:tcPr>
            <w:tcW w:w="588" w:type="pct"/>
            <w:tcBorders>
              <w:top w:val="single" w:sz="4" w:space="0" w:color="auto"/>
              <w:left w:val="nil"/>
              <w:bottom w:val="single" w:sz="4" w:space="0" w:color="auto"/>
              <w:right w:val="single" w:sz="4" w:space="0" w:color="auto"/>
            </w:tcBorders>
            <w:shd w:val="clear" w:color="000000" w:fill="BFBFBF"/>
            <w:vAlign w:val="center"/>
            <w:hideMark/>
          </w:tcPr>
          <w:p w14:paraId="4561156E" w14:textId="77777777" w:rsidR="006E2F7A" w:rsidRPr="000D12AE" w:rsidRDefault="006E2F7A" w:rsidP="000122FB">
            <w:pPr>
              <w:jc w:val="center"/>
              <w:rPr>
                <w:rFonts w:cs="Arial"/>
                <w:b/>
                <w:bCs/>
                <w:lang w:eastAsia="sk-SK"/>
              </w:rPr>
            </w:pPr>
            <w:r w:rsidRPr="000D12AE">
              <w:rPr>
                <w:rFonts w:cs="Arial"/>
                <w:b/>
                <w:bCs/>
                <w:lang w:eastAsia="sk-SK"/>
              </w:rPr>
              <w:t>Odberné miesto</w:t>
            </w:r>
            <w:r w:rsidRPr="000D12AE">
              <w:rPr>
                <w:rFonts w:cs="Arial"/>
                <w:b/>
                <w:bCs/>
                <w:lang w:eastAsia="sk-SK"/>
              </w:rPr>
              <w:br/>
              <w:t>(názov, adresa)</w:t>
            </w:r>
          </w:p>
        </w:tc>
        <w:tc>
          <w:tcPr>
            <w:tcW w:w="714" w:type="pct"/>
            <w:tcBorders>
              <w:top w:val="single" w:sz="4" w:space="0" w:color="auto"/>
              <w:left w:val="nil"/>
              <w:bottom w:val="single" w:sz="4" w:space="0" w:color="auto"/>
              <w:right w:val="single" w:sz="4" w:space="0" w:color="auto"/>
            </w:tcBorders>
            <w:shd w:val="clear" w:color="000000" w:fill="BFBFBF"/>
            <w:vAlign w:val="center"/>
            <w:hideMark/>
          </w:tcPr>
          <w:p w14:paraId="387FF274" w14:textId="77777777" w:rsidR="006E2F7A" w:rsidRPr="000D12AE" w:rsidRDefault="006E2F7A" w:rsidP="000122FB">
            <w:pPr>
              <w:jc w:val="center"/>
              <w:rPr>
                <w:rFonts w:cs="Arial"/>
                <w:b/>
                <w:bCs/>
                <w:lang w:eastAsia="sk-SK"/>
              </w:rPr>
            </w:pPr>
            <w:r w:rsidRPr="000D12AE">
              <w:rPr>
                <w:rFonts w:cs="Arial"/>
                <w:b/>
                <w:bCs/>
                <w:lang w:eastAsia="sk-SK"/>
              </w:rPr>
              <w:t>Predpoklad. objem odberu (kWh)</w:t>
            </w:r>
            <w:r w:rsidRPr="000D12AE">
              <w:rPr>
                <w:rFonts w:cs="Arial"/>
                <w:b/>
                <w:bCs/>
                <w:lang w:eastAsia="sk-SK"/>
              </w:rPr>
              <w:br/>
              <w:t>od 01.01.2024 do 31.12.2025</w:t>
            </w:r>
          </w:p>
        </w:tc>
        <w:tc>
          <w:tcPr>
            <w:tcW w:w="683" w:type="pct"/>
            <w:tcBorders>
              <w:top w:val="single" w:sz="4" w:space="0" w:color="auto"/>
              <w:left w:val="nil"/>
              <w:bottom w:val="single" w:sz="4" w:space="0" w:color="auto"/>
              <w:right w:val="single" w:sz="4" w:space="0" w:color="auto"/>
            </w:tcBorders>
            <w:shd w:val="clear" w:color="000000" w:fill="BFBFBF"/>
            <w:noWrap/>
            <w:vAlign w:val="center"/>
            <w:hideMark/>
          </w:tcPr>
          <w:p w14:paraId="1F852FA6" w14:textId="77777777" w:rsidR="006E2F7A" w:rsidRPr="000D12AE" w:rsidRDefault="006E2F7A" w:rsidP="000122FB">
            <w:pPr>
              <w:jc w:val="center"/>
              <w:rPr>
                <w:rFonts w:cs="Arial"/>
                <w:b/>
                <w:bCs/>
                <w:lang w:eastAsia="sk-SK"/>
              </w:rPr>
            </w:pPr>
            <w:r w:rsidRPr="000D12AE">
              <w:rPr>
                <w:rFonts w:cs="Arial"/>
                <w:b/>
                <w:bCs/>
                <w:lang w:eastAsia="sk-SK"/>
              </w:rPr>
              <w:t>ČOM</w:t>
            </w:r>
          </w:p>
        </w:tc>
        <w:tc>
          <w:tcPr>
            <w:tcW w:w="1176" w:type="pct"/>
            <w:tcBorders>
              <w:top w:val="single" w:sz="4" w:space="0" w:color="auto"/>
              <w:left w:val="nil"/>
              <w:bottom w:val="single" w:sz="4" w:space="0" w:color="auto"/>
              <w:right w:val="single" w:sz="4" w:space="0" w:color="auto"/>
            </w:tcBorders>
            <w:shd w:val="clear" w:color="000000" w:fill="BFBFBF"/>
            <w:noWrap/>
            <w:vAlign w:val="center"/>
            <w:hideMark/>
          </w:tcPr>
          <w:p w14:paraId="5381AF2C" w14:textId="77777777" w:rsidR="006E2F7A" w:rsidRPr="000D12AE" w:rsidRDefault="006E2F7A" w:rsidP="000122FB">
            <w:pPr>
              <w:jc w:val="center"/>
              <w:rPr>
                <w:rFonts w:cs="Arial"/>
                <w:b/>
                <w:bCs/>
                <w:lang w:eastAsia="sk-SK"/>
              </w:rPr>
            </w:pPr>
            <w:r w:rsidRPr="000D12AE">
              <w:rPr>
                <w:rFonts w:cs="Arial"/>
                <w:b/>
                <w:bCs/>
                <w:lang w:eastAsia="sk-SK"/>
              </w:rPr>
              <w:t>POD kód</w:t>
            </w:r>
          </w:p>
        </w:tc>
        <w:tc>
          <w:tcPr>
            <w:tcW w:w="734" w:type="pct"/>
            <w:tcBorders>
              <w:top w:val="single" w:sz="4" w:space="0" w:color="auto"/>
              <w:left w:val="nil"/>
              <w:bottom w:val="single" w:sz="4" w:space="0" w:color="auto"/>
              <w:right w:val="single" w:sz="4" w:space="0" w:color="auto"/>
            </w:tcBorders>
            <w:shd w:val="clear" w:color="000000" w:fill="BFBFBF"/>
            <w:vAlign w:val="center"/>
            <w:hideMark/>
          </w:tcPr>
          <w:p w14:paraId="312A09D8" w14:textId="77777777" w:rsidR="006E2F7A" w:rsidRPr="000D12AE" w:rsidRDefault="006E2F7A" w:rsidP="000122FB">
            <w:pPr>
              <w:jc w:val="center"/>
              <w:rPr>
                <w:rFonts w:cs="Arial"/>
                <w:b/>
                <w:bCs/>
                <w:lang w:eastAsia="sk-SK"/>
              </w:rPr>
            </w:pPr>
            <w:r w:rsidRPr="000D12AE">
              <w:rPr>
                <w:rFonts w:cs="Arial"/>
                <w:b/>
                <w:bCs/>
                <w:lang w:eastAsia="sk-SK"/>
              </w:rPr>
              <w:t>Zaradenie odberu</w:t>
            </w:r>
            <w:r w:rsidRPr="000D12AE">
              <w:rPr>
                <w:rFonts w:cs="Arial"/>
                <w:b/>
                <w:bCs/>
                <w:lang w:eastAsia="sk-SK"/>
              </w:rPr>
              <w:br/>
              <w:t>(MO, SO, VO)</w:t>
            </w:r>
          </w:p>
        </w:tc>
        <w:tc>
          <w:tcPr>
            <w:tcW w:w="884" w:type="pct"/>
            <w:tcBorders>
              <w:top w:val="single" w:sz="4" w:space="0" w:color="auto"/>
              <w:left w:val="nil"/>
              <w:bottom w:val="single" w:sz="4" w:space="0" w:color="auto"/>
              <w:right w:val="single" w:sz="4" w:space="0" w:color="auto"/>
            </w:tcBorders>
            <w:shd w:val="clear" w:color="000000" w:fill="BFBFBF"/>
            <w:vAlign w:val="center"/>
            <w:hideMark/>
          </w:tcPr>
          <w:p w14:paraId="34C87BA9" w14:textId="77777777" w:rsidR="006E2F7A" w:rsidRPr="000D12AE" w:rsidRDefault="006E2F7A" w:rsidP="000122FB">
            <w:pPr>
              <w:jc w:val="center"/>
              <w:rPr>
                <w:rFonts w:cs="Arial"/>
                <w:b/>
                <w:bCs/>
                <w:lang w:eastAsia="sk-SK"/>
              </w:rPr>
            </w:pPr>
            <w:proofErr w:type="spellStart"/>
            <w:r w:rsidRPr="000D12AE">
              <w:rPr>
                <w:rFonts w:cs="Arial"/>
                <w:b/>
                <w:bCs/>
                <w:lang w:eastAsia="sk-SK"/>
              </w:rPr>
              <w:t>Zml</w:t>
            </w:r>
            <w:proofErr w:type="spellEnd"/>
            <w:r w:rsidRPr="000D12AE">
              <w:rPr>
                <w:rFonts w:cs="Arial"/>
                <w:b/>
                <w:bCs/>
                <w:lang w:eastAsia="sk-SK"/>
              </w:rPr>
              <w:t>. Dohodnuté</w:t>
            </w:r>
            <w:r w:rsidRPr="000D12AE">
              <w:rPr>
                <w:rFonts w:cs="Arial"/>
                <w:b/>
                <w:bCs/>
                <w:lang w:eastAsia="sk-SK"/>
              </w:rPr>
              <w:br/>
              <w:t>denné max. m3</w:t>
            </w:r>
            <w:r w:rsidRPr="000D12AE">
              <w:rPr>
                <w:rFonts w:cs="Arial"/>
                <w:b/>
                <w:bCs/>
                <w:lang w:eastAsia="sk-SK"/>
              </w:rPr>
              <w:br/>
              <w:t>(pri SO, VO)</w:t>
            </w:r>
          </w:p>
        </w:tc>
      </w:tr>
      <w:tr w:rsidR="006E2F7A" w:rsidRPr="000D12AE" w14:paraId="4C7243AE"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AA6294E" w14:textId="77777777" w:rsidR="006E2F7A" w:rsidRPr="000D12AE" w:rsidRDefault="006E2F7A" w:rsidP="000122FB">
            <w:pPr>
              <w:jc w:val="center"/>
              <w:rPr>
                <w:rFonts w:cs="Arial"/>
                <w:lang w:eastAsia="sk-SK"/>
              </w:rPr>
            </w:pPr>
            <w:r w:rsidRPr="000D12AE">
              <w:rPr>
                <w:rFonts w:cs="Arial"/>
                <w:lang w:eastAsia="sk-SK"/>
              </w:rPr>
              <w:t>1</w:t>
            </w:r>
          </w:p>
        </w:tc>
        <w:tc>
          <w:tcPr>
            <w:tcW w:w="588" w:type="pct"/>
            <w:tcBorders>
              <w:top w:val="nil"/>
              <w:left w:val="nil"/>
              <w:bottom w:val="single" w:sz="4" w:space="0" w:color="auto"/>
              <w:right w:val="single" w:sz="4" w:space="0" w:color="auto"/>
            </w:tcBorders>
            <w:shd w:val="clear" w:color="auto" w:fill="auto"/>
            <w:vAlign w:val="center"/>
            <w:hideMark/>
          </w:tcPr>
          <w:p w14:paraId="338B81AF" w14:textId="68C726F8" w:rsidR="006E2F7A" w:rsidRPr="000D12AE" w:rsidRDefault="006E2F7A" w:rsidP="000122FB">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 xml:space="preserve">Starý Smokovec </w:t>
            </w:r>
            <w:r w:rsidR="008A0DE6" w:rsidRPr="00C36030">
              <w:rPr>
                <w:rFonts w:cs="Arial"/>
                <w:sz w:val="18"/>
                <w:szCs w:val="18"/>
                <w:lang w:eastAsia="sk-SK"/>
              </w:rPr>
              <w:t>180</w:t>
            </w:r>
            <w:r w:rsidRPr="00C36030">
              <w:rPr>
                <w:rFonts w:cs="Arial"/>
                <w:sz w:val="18"/>
                <w:szCs w:val="18"/>
                <w:lang w:eastAsia="sk-SK"/>
              </w:rPr>
              <w:t>2</w:t>
            </w:r>
            <w:r w:rsidRPr="000D12AE">
              <w:rPr>
                <w:rFonts w:cs="Arial"/>
                <w:sz w:val="18"/>
                <w:szCs w:val="18"/>
                <w:lang w:eastAsia="sk-SK"/>
              </w:rPr>
              <w:t>3</w:t>
            </w:r>
            <w:r w:rsidRPr="000D12AE">
              <w:rPr>
                <w:rFonts w:cs="Arial"/>
                <w:sz w:val="18"/>
                <w:szCs w:val="18"/>
                <w:lang w:eastAsia="sk-SK"/>
              </w:rPr>
              <w:br/>
              <w:t>062 01 Vysoké Tatry</w:t>
            </w:r>
          </w:p>
        </w:tc>
        <w:tc>
          <w:tcPr>
            <w:tcW w:w="714" w:type="pct"/>
            <w:tcBorders>
              <w:top w:val="nil"/>
              <w:left w:val="nil"/>
              <w:bottom w:val="single" w:sz="4" w:space="0" w:color="000000"/>
              <w:right w:val="single" w:sz="4" w:space="0" w:color="000000"/>
            </w:tcBorders>
            <w:shd w:val="clear" w:color="auto" w:fill="auto"/>
            <w:noWrap/>
            <w:vAlign w:val="center"/>
            <w:hideMark/>
          </w:tcPr>
          <w:p w14:paraId="09FAE314" w14:textId="77777777" w:rsidR="006E2F7A" w:rsidRPr="000D12AE" w:rsidRDefault="006E2F7A" w:rsidP="000122FB">
            <w:pPr>
              <w:jc w:val="center"/>
              <w:rPr>
                <w:rFonts w:cs="Arial"/>
                <w:lang w:eastAsia="sk-SK"/>
              </w:rPr>
            </w:pPr>
            <w:r w:rsidRPr="000D12AE">
              <w:rPr>
                <w:rFonts w:cs="Arial"/>
                <w:lang w:eastAsia="sk-SK"/>
              </w:rPr>
              <w:t>600 000,00</w:t>
            </w:r>
          </w:p>
        </w:tc>
        <w:tc>
          <w:tcPr>
            <w:tcW w:w="683" w:type="pct"/>
            <w:tcBorders>
              <w:top w:val="nil"/>
              <w:left w:val="nil"/>
              <w:bottom w:val="single" w:sz="4" w:space="0" w:color="000000"/>
              <w:right w:val="single" w:sz="4" w:space="0" w:color="000000"/>
            </w:tcBorders>
            <w:shd w:val="clear" w:color="auto" w:fill="auto"/>
            <w:noWrap/>
            <w:vAlign w:val="center"/>
            <w:hideMark/>
          </w:tcPr>
          <w:p w14:paraId="78E63B32" w14:textId="77777777" w:rsidR="006E2F7A" w:rsidRPr="000D12AE" w:rsidRDefault="006E2F7A" w:rsidP="000122FB">
            <w:pPr>
              <w:jc w:val="center"/>
              <w:rPr>
                <w:rFonts w:cs="Arial"/>
                <w:lang w:eastAsia="sk-SK"/>
              </w:rPr>
            </w:pPr>
            <w:r w:rsidRPr="000D12AE">
              <w:rPr>
                <w:rFonts w:cs="Arial"/>
                <w:lang w:eastAsia="sk-SK"/>
              </w:rPr>
              <w:t>4100056380</w:t>
            </w:r>
          </w:p>
        </w:tc>
        <w:tc>
          <w:tcPr>
            <w:tcW w:w="1176" w:type="pct"/>
            <w:tcBorders>
              <w:top w:val="nil"/>
              <w:left w:val="nil"/>
              <w:bottom w:val="single" w:sz="4" w:space="0" w:color="000000"/>
              <w:right w:val="single" w:sz="4" w:space="0" w:color="000000"/>
            </w:tcBorders>
            <w:shd w:val="clear" w:color="auto" w:fill="auto"/>
            <w:noWrap/>
            <w:vAlign w:val="center"/>
            <w:hideMark/>
          </w:tcPr>
          <w:p w14:paraId="3379F190" w14:textId="77777777" w:rsidR="006E2F7A" w:rsidRPr="000D12AE" w:rsidRDefault="006E2F7A" w:rsidP="000122FB">
            <w:pPr>
              <w:jc w:val="center"/>
              <w:rPr>
                <w:rFonts w:cs="Arial"/>
                <w:lang w:eastAsia="sk-SK"/>
              </w:rPr>
            </w:pPr>
            <w:r w:rsidRPr="000D12AE">
              <w:rPr>
                <w:rFonts w:cs="Arial"/>
                <w:lang w:eastAsia="sk-SK"/>
              </w:rPr>
              <w:t>SKSPPDIS001010902971</w:t>
            </w:r>
          </w:p>
        </w:tc>
        <w:tc>
          <w:tcPr>
            <w:tcW w:w="734" w:type="pct"/>
            <w:tcBorders>
              <w:top w:val="nil"/>
              <w:left w:val="nil"/>
              <w:bottom w:val="single" w:sz="4" w:space="0" w:color="000000"/>
              <w:right w:val="nil"/>
            </w:tcBorders>
            <w:shd w:val="clear" w:color="auto" w:fill="auto"/>
            <w:noWrap/>
            <w:vAlign w:val="center"/>
            <w:hideMark/>
          </w:tcPr>
          <w:p w14:paraId="6834F9A7"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535A5B6D"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4E95EB5" w14:textId="77777777" w:rsidTr="006E2F7A">
        <w:trPr>
          <w:trHeight w:val="1299"/>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69B574E" w14:textId="77777777" w:rsidR="006E2F7A" w:rsidRPr="000D12AE" w:rsidRDefault="006E2F7A" w:rsidP="000122FB">
            <w:pPr>
              <w:jc w:val="center"/>
              <w:rPr>
                <w:rFonts w:cs="Arial"/>
                <w:lang w:eastAsia="sk-SK"/>
              </w:rPr>
            </w:pPr>
            <w:r w:rsidRPr="000D12AE">
              <w:rPr>
                <w:rFonts w:cs="Arial"/>
                <w:lang w:eastAsia="sk-SK"/>
              </w:rPr>
              <w:t>2</w:t>
            </w:r>
          </w:p>
        </w:tc>
        <w:tc>
          <w:tcPr>
            <w:tcW w:w="588" w:type="pct"/>
            <w:tcBorders>
              <w:top w:val="nil"/>
              <w:left w:val="nil"/>
              <w:bottom w:val="single" w:sz="4" w:space="0" w:color="auto"/>
              <w:right w:val="single" w:sz="4" w:space="0" w:color="auto"/>
            </w:tcBorders>
            <w:shd w:val="clear" w:color="auto" w:fill="auto"/>
            <w:vAlign w:val="center"/>
            <w:hideMark/>
          </w:tcPr>
          <w:p w14:paraId="20713729" w14:textId="3E13BECC" w:rsidR="006E2F7A" w:rsidRPr="000D12AE" w:rsidRDefault="006E2F7A" w:rsidP="000122FB">
            <w:pPr>
              <w:jc w:val="center"/>
              <w:rPr>
                <w:rFonts w:cs="Arial"/>
                <w:sz w:val="18"/>
                <w:szCs w:val="18"/>
                <w:lang w:eastAsia="sk-SK"/>
              </w:rPr>
            </w:pPr>
            <w:r w:rsidRPr="000D12AE">
              <w:rPr>
                <w:rFonts w:cs="Arial"/>
                <w:sz w:val="18"/>
                <w:szCs w:val="18"/>
                <w:lang w:eastAsia="sk-SK"/>
              </w:rPr>
              <w:t>Riaditeľstvo HZS</w:t>
            </w:r>
            <w:r w:rsidRPr="000D12AE">
              <w:rPr>
                <w:rFonts w:cs="Arial"/>
                <w:sz w:val="18"/>
                <w:szCs w:val="18"/>
                <w:lang w:eastAsia="sk-SK"/>
              </w:rPr>
              <w:br/>
              <w:t xml:space="preserve">Horný Smokovec </w:t>
            </w:r>
            <w:r w:rsidR="008A0DE6" w:rsidRPr="00731D89">
              <w:rPr>
                <w:rFonts w:cs="Arial"/>
                <w:sz w:val="18"/>
                <w:szCs w:val="18"/>
                <w:lang w:eastAsia="sk-SK"/>
              </w:rPr>
              <w:t>170</w:t>
            </w:r>
            <w:r w:rsidRPr="00731D89">
              <w:rPr>
                <w:rFonts w:cs="Arial"/>
                <w:sz w:val="18"/>
                <w:szCs w:val="18"/>
                <w:lang w:eastAsia="sk-SK"/>
              </w:rPr>
              <w:t>5</w:t>
            </w:r>
            <w:r w:rsidRPr="000D12AE">
              <w:rPr>
                <w:rFonts w:cs="Arial"/>
                <w:sz w:val="18"/>
                <w:szCs w:val="18"/>
                <w:lang w:eastAsia="sk-SK"/>
              </w:rPr>
              <w:t>2</w:t>
            </w:r>
            <w:r w:rsidRPr="000D12AE">
              <w:rPr>
                <w:rFonts w:cs="Arial"/>
                <w:sz w:val="18"/>
                <w:szCs w:val="18"/>
                <w:lang w:eastAsia="sk-SK"/>
              </w:rPr>
              <w:br/>
              <w:t>062 01 Vysoké Tatry</w:t>
            </w:r>
          </w:p>
        </w:tc>
        <w:tc>
          <w:tcPr>
            <w:tcW w:w="714" w:type="pct"/>
            <w:tcBorders>
              <w:top w:val="nil"/>
              <w:left w:val="nil"/>
              <w:bottom w:val="single" w:sz="4" w:space="0" w:color="000000"/>
              <w:right w:val="single" w:sz="4" w:space="0" w:color="000000"/>
            </w:tcBorders>
            <w:shd w:val="clear" w:color="auto" w:fill="auto"/>
            <w:noWrap/>
            <w:vAlign w:val="center"/>
            <w:hideMark/>
          </w:tcPr>
          <w:p w14:paraId="325DE1FC" w14:textId="77777777" w:rsidR="006E2F7A" w:rsidRPr="000D12AE" w:rsidRDefault="006E2F7A" w:rsidP="000122FB">
            <w:pPr>
              <w:jc w:val="center"/>
              <w:rPr>
                <w:rFonts w:cs="Arial"/>
                <w:lang w:eastAsia="sk-SK"/>
              </w:rPr>
            </w:pPr>
            <w:r w:rsidRPr="000D12AE">
              <w:rPr>
                <w:rFonts w:cs="Arial"/>
                <w:lang w:eastAsia="sk-SK"/>
              </w:rPr>
              <w:t>200 000,00</w:t>
            </w:r>
          </w:p>
        </w:tc>
        <w:tc>
          <w:tcPr>
            <w:tcW w:w="683" w:type="pct"/>
            <w:tcBorders>
              <w:top w:val="nil"/>
              <w:left w:val="nil"/>
              <w:bottom w:val="single" w:sz="4" w:space="0" w:color="000000"/>
              <w:right w:val="single" w:sz="4" w:space="0" w:color="000000"/>
            </w:tcBorders>
            <w:shd w:val="clear" w:color="auto" w:fill="auto"/>
            <w:noWrap/>
            <w:vAlign w:val="center"/>
            <w:hideMark/>
          </w:tcPr>
          <w:p w14:paraId="56B33BF7" w14:textId="77777777" w:rsidR="006E2F7A" w:rsidRPr="000D12AE" w:rsidRDefault="006E2F7A" w:rsidP="000122FB">
            <w:pPr>
              <w:jc w:val="center"/>
              <w:rPr>
                <w:rFonts w:cs="Arial"/>
                <w:lang w:eastAsia="sk-SK"/>
              </w:rPr>
            </w:pPr>
            <w:r w:rsidRPr="000D12AE">
              <w:rPr>
                <w:rFonts w:cs="Arial"/>
                <w:lang w:eastAsia="sk-SK"/>
              </w:rPr>
              <w:t>4101474993</w:t>
            </w:r>
          </w:p>
        </w:tc>
        <w:tc>
          <w:tcPr>
            <w:tcW w:w="1176" w:type="pct"/>
            <w:tcBorders>
              <w:top w:val="nil"/>
              <w:left w:val="nil"/>
              <w:bottom w:val="single" w:sz="4" w:space="0" w:color="000000"/>
              <w:right w:val="single" w:sz="4" w:space="0" w:color="000000"/>
            </w:tcBorders>
            <w:shd w:val="clear" w:color="auto" w:fill="auto"/>
            <w:noWrap/>
            <w:vAlign w:val="center"/>
            <w:hideMark/>
          </w:tcPr>
          <w:p w14:paraId="35104E25" w14:textId="77777777" w:rsidR="006E2F7A" w:rsidRPr="000D12AE" w:rsidRDefault="006E2F7A" w:rsidP="000122FB">
            <w:pPr>
              <w:jc w:val="center"/>
              <w:rPr>
                <w:rFonts w:cs="Arial"/>
                <w:lang w:eastAsia="sk-SK"/>
              </w:rPr>
            </w:pPr>
            <w:r w:rsidRPr="000D12AE">
              <w:rPr>
                <w:rFonts w:cs="Arial"/>
                <w:lang w:eastAsia="sk-SK"/>
              </w:rPr>
              <w:t>SLSPPDIS011010000845</w:t>
            </w:r>
          </w:p>
        </w:tc>
        <w:tc>
          <w:tcPr>
            <w:tcW w:w="734" w:type="pct"/>
            <w:tcBorders>
              <w:top w:val="nil"/>
              <w:left w:val="nil"/>
              <w:bottom w:val="single" w:sz="4" w:space="0" w:color="000000"/>
              <w:right w:val="nil"/>
            </w:tcBorders>
            <w:shd w:val="clear" w:color="auto" w:fill="auto"/>
            <w:noWrap/>
            <w:vAlign w:val="center"/>
            <w:hideMark/>
          </w:tcPr>
          <w:p w14:paraId="4D92ABFF"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0EDD2537"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7F0B470"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17E33AA5" w14:textId="77777777" w:rsidR="006E2F7A" w:rsidRPr="000D12AE" w:rsidRDefault="006E2F7A" w:rsidP="000122FB">
            <w:pPr>
              <w:jc w:val="center"/>
              <w:rPr>
                <w:rFonts w:cs="Arial"/>
                <w:lang w:eastAsia="sk-SK"/>
              </w:rPr>
            </w:pPr>
            <w:r w:rsidRPr="000D12AE">
              <w:rPr>
                <w:rFonts w:cs="Arial"/>
                <w:lang w:eastAsia="sk-SK"/>
              </w:rPr>
              <w:t>3</w:t>
            </w:r>
          </w:p>
        </w:tc>
        <w:tc>
          <w:tcPr>
            <w:tcW w:w="588" w:type="pct"/>
            <w:tcBorders>
              <w:top w:val="nil"/>
              <w:left w:val="nil"/>
              <w:bottom w:val="single" w:sz="4" w:space="0" w:color="auto"/>
              <w:right w:val="single" w:sz="4" w:space="0" w:color="auto"/>
            </w:tcBorders>
            <w:shd w:val="clear" w:color="auto" w:fill="auto"/>
            <w:vAlign w:val="center"/>
            <w:hideMark/>
          </w:tcPr>
          <w:p w14:paraId="034D8D35" w14:textId="57B23EBE" w:rsidR="006E2F7A" w:rsidRPr="000D12AE" w:rsidRDefault="006E2F7A" w:rsidP="000122FB">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Dr.</w:t>
            </w:r>
            <w:r w:rsidR="00F427BC">
              <w:rPr>
                <w:rFonts w:cs="Arial"/>
                <w:sz w:val="18"/>
                <w:szCs w:val="18"/>
                <w:lang w:eastAsia="sk-SK"/>
              </w:rPr>
              <w:t xml:space="preserve"> </w:t>
            </w:r>
            <w:r w:rsidRPr="000D12AE">
              <w:rPr>
                <w:rFonts w:cs="Arial"/>
                <w:sz w:val="18"/>
                <w:szCs w:val="18"/>
                <w:lang w:eastAsia="sk-SK"/>
              </w:rPr>
              <w:t>Gašparíka 598</w:t>
            </w:r>
            <w:r w:rsidRPr="000D12AE">
              <w:rPr>
                <w:rFonts w:cs="Arial"/>
                <w:sz w:val="18"/>
                <w:szCs w:val="18"/>
                <w:lang w:eastAsia="sk-SK"/>
              </w:rPr>
              <w:br/>
            </w:r>
            <w:r w:rsidR="00EB577D">
              <w:rPr>
                <w:rFonts w:cs="Arial"/>
                <w:sz w:val="18"/>
                <w:szCs w:val="18"/>
                <w:lang w:eastAsia="sk-SK"/>
              </w:rPr>
              <w:t xml:space="preserve">033 01 </w:t>
            </w:r>
            <w:r w:rsidRPr="000D12AE">
              <w:rPr>
                <w:rFonts w:cs="Arial"/>
                <w:sz w:val="18"/>
                <w:szCs w:val="18"/>
                <w:lang w:eastAsia="sk-SK"/>
              </w:rPr>
              <w:t>Liptovský Hrádok</w:t>
            </w:r>
          </w:p>
        </w:tc>
        <w:tc>
          <w:tcPr>
            <w:tcW w:w="714" w:type="pct"/>
            <w:tcBorders>
              <w:top w:val="nil"/>
              <w:left w:val="nil"/>
              <w:bottom w:val="single" w:sz="4" w:space="0" w:color="000000"/>
              <w:right w:val="single" w:sz="4" w:space="0" w:color="000000"/>
            </w:tcBorders>
            <w:shd w:val="clear" w:color="auto" w:fill="auto"/>
            <w:noWrap/>
            <w:vAlign w:val="center"/>
            <w:hideMark/>
          </w:tcPr>
          <w:p w14:paraId="512EE5BF" w14:textId="77777777" w:rsidR="006E2F7A" w:rsidRPr="000D12AE" w:rsidRDefault="006E2F7A" w:rsidP="000122FB">
            <w:pPr>
              <w:jc w:val="center"/>
              <w:rPr>
                <w:rFonts w:cs="Arial"/>
                <w:lang w:eastAsia="sk-SK"/>
              </w:rPr>
            </w:pPr>
            <w:r w:rsidRPr="000D12AE">
              <w:rPr>
                <w:rFonts w:cs="Arial"/>
                <w:lang w:eastAsia="sk-SK"/>
              </w:rPr>
              <w:t>2 000,00</w:t>
            </w:r>
          </w:p>
        </w:tc>
        <w:tc>
          <w:tcPr>
            <w:tcW w:w="683" w:type="pct"/>
            <w:tcBorders>
              <w:top w:val="nil"/>
              <w:left w:val="nil"/>
              <w:bottom w:val="single" w:sz="4" w:space="0" w:color="000000"/>
              <w:right w:val="single" w:sz="4" w:space="0" w:color="000000"/>
            </w:tcBorders>
            <w:shd w:val="clear" w:color="auto" w:fill="auto"/>
            <w:noWrap/>
            <w:vAlign w:val="center"/>
            <w:hideMark/>
          </w:tcPr>
          <w:p w14:paraId="0F30B2C6" w14:textId="77777777" w:rsidR="006E2F7A" w:rsidRPr="000D12AE" w:rsidRDefault="006E2F7A" w:rsidP="000122FB">
            <w:pPr>
              <w:jc w:val="center"/>
              <w:rPr>
                <w:rFonts w:cs="Arial"/>
                <w:lang w:eastAsia="sk-SK"/>
              </w:rPr>
            </w:pPr>
            <w:r w:rsidRPr="000D12AE">
              <w:rPr>
                <w:rFonts w:cs="Arial"/>
                <w:lang w:eastAsia="sk-SK"/>
              </w:rPr>
              <w:t>4100033678</w:t>
            </w:r>
          </w:p>
        </w:tc>
        <w:tc>
          <w:tcPr>
            <w:tcW w:w="1176" w:type="pct"/>
            <w:tcBorders>
              <w:top w:val="nil"/>
              <w:left w:val="nil"/>
              <w:bottom w:val="single" w:sz="4" w:space="0" w:color="000000"/>
              <w:right w:val="single" w:sz="4" w:space="0" w:color="000000"/>
            </w:tcBorders>
            <w:shd w:val="clear" w:color="auto" w:fill="auto"/>
            <w:noWrap/>
            <w:vAlign w:val="center"/>
            <w:hideMark/>
          </w:tcPr>
          <w:p w14:paraId="5A470D00" w14:textId="77777777" w:rsidR="006E2F7A" w:rsidRPr="000D12AE" w:rsidRDefault="006E2F7A" w:rsidP="000122FB">
            <w:pPr>
              <w:jc w:val="center"/>
              <w:rPr>
                <w:rFonts w:cs="Arial"/>
                <w:lang w:eastAsia="sk-SK"/>
              </w:rPr>
            </w:pPr>
            <w:r w:rsidRPr="000D12AE">
              <w:rPr>
                <w:rFonts w:cs="Arial"/>
                <w:lang w:eastAsia="sk-SK"/>
              </w:rPr>
              <w:t>SKSPPDIS000510504937</w:t>
            </w:r>
          </w:p>
        </w:tc>
        <w:tc>
          <w:tcPr>
            <w:tcW w:w="734" w:type="pct"/>
            <w:tcBorders>
              <w:top w:val="nil"/>
              <w:left w:val="nil"/>
              <w:bottom w:val="nil"/>
              <w:right w:val="nil"/>
            </w:tcBorders>
            <w:shd w:val="clear" w:color="auto" w:fill="auto"/>
            <w:noWrap/>
            <w:vAlign w:val="center"/>
            <w:hideMark/>
          </w:tcPr>
          <w:p w14:paraId="72CAA63E"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single" w:sz="4" w:space="0" w:color="000000"/>
              <w:bottom w:val="single" w:sz="4" w:space="0" w:color="000000"/>
              <w:right w:val="single" w:sz="4" w:space="0" w:color="000000"/>
            </w:tcBorders>
            <w:shd w:val="clear" w:color="auto" w:fill="auto"/>
            <w:noWrap/>
            <w:vAlign w:val="center"/>
            <w:hideMark/>
          </w:tcPr>
          <w:p w14:paraId="63589248"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5D138C68" w14:textId="77777777" w:rsidTr="006E2F7A">
        <w:trPr>
          <w:trHeight w:val="1092"/>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48471630" w14:textId="77777777" w:rsidR="006E2F7A" w:rsidRPr="000D12AE" w:rsidRDefault="006E2F7A" w:rsidP="000122FB">
            <w:pPr>
              <w:jc w:val="center"/>
              <w:rPr>
                <w:rFonts w:cs="Arial"/>
                <w:lang w:eastAsia="sk-SK"/>
              </w:rPr>
            </w:pPr>
            <w:r w:rsidRPr="000D12AE">
              <w:rPr>
                <w:rFonts w:cs="Arial"/>
                <w:lang w:eastAsia="sk-SK"/>
              </w:rPr>
              <w:t>4</w:t>
            </w:r>
          </w:p>
        </w:tc>
        <w:tc>
          <w:tcPr>
            <w:tcW w:w="588" w:type="pct"/>
            <w:tcBorders>
              <w:top w:val="nil"/>
              <w:left w:val="nil"/>
              <w:bottom w:val="single" w:sz="4" w:space="0" w:color="auto"/>
              <w:right w:val="single" w:sz="4" w:space="0" w:color="auto"/>
            </w:tcBorders>
            <w:shd w:val="clear" w:color="auto" w:fill="auto"/>
            <w:vAlign w:val="center"/>
            <w:hideMark/>
          </w:tcPr>
          <w:p w14:paraId="6A2AFFAF" w14:textId="6C1DE5D3" w:rsidR="00EB577D" w:rsidRPr="000D12AE" w:rsidRDefault="006E2F7A" w:rsidP="00EB577D">
            <w:pPr>
              <w:jc w:val="center"/>
              <w:rPr>
                <w:rFonts w:cs="Arial"/>
                <w:sz w:val="18"/>
                <w:szCs w:val="18"/>
                <w:lang w:eastAsia="sk-SK"/>
              </w:rPr>
            </w:pPr>
            <w:r w:rsidRPr="000D12AE">
              <w:rPr>
                <w:rFonts w:cs="Arial"/>
                <w:sz w:val="18"/>
                <w:szCs w:val="18"/>
                <w:lang w:eastAsia="sk-SK"/>
              </w:rPr>
              <w:t>Dom HZS</w:t>
            </w:r>
            <w:r w:rsidRPr="000D12AE">
              <w:rPr>
                <w:rFonts w:cs="Arial"/>
                <w:sz w:val="18"/>
                <w:szCs w:val="18"/>
                <w:lang w:eastAsia="sk-SK"/>
              </w:rPr>
              <w:br/>
              <w:t>Dr.</w:t>
            </w:r>
            <w:r w:rsidR="00F427BC">
              <w:rPr>
                <w:rFonts w:cs="Arial"/>
                <w:sz w:val="18"/>
                <w:szCs w:val="18"/>
                <w:lang w:eastAsia="sk-SK"/>
              </w:rPr>
              <w:t xml:space="preserve"> </w:t>
            </w:r>
            <w:r w:rsidRPr="000D12AE">
              <w:rPr>
                <w:rFonts w:cs="Arial"/>
                <w:sz w:val="18"/>
                <w:szCs w:val="18"/>
                <w:lang w:eastAsia="sk-SK"/>
              </w:rPr>
              <w:t>Gašparíka 598</w:t>
            </w:r>
            <w:r w:rsidRPr="000D12AE">
              <w:rPr>
                <w:rFonts w:cs="Arial"/>
                <w:sz w:val="18"/>
                <w:szCs w:val="18"/>
                <w:lang w:eastAsia="sk-SK"/>
              </w:rPr>
              <w:br/>
            </w:r>
            <w:r w:rsidR="00EB577D">
              <w:rPr>
                <w:rFonts w:cs="Arial"/>
                <w:sz w:val="18"/>
                <w:szCs w:val="18"/>
                <w:lang w:eastAsia="sk-SK"/>
              </w:rPr>
              <w:t xml:space="preserve">033 01 </w:t>
            </w:r>
            <w:r w:rsidRPr="000D12AE">
              <w:rPr>
                <w:rFonts w:cs="Arial"/>
                <w:sz w:val="18"/>
                <w:szCs w:val="18"/>
                <w:lang w:eastAsia="sk-SK"/>
              </w:rPr>
              <w:t>Liptovský Hrádok</w:t>
            </w:r>
          </w:p>
        </w:tc>
        <w:tc>
          <w:tcPr>
            <w:tcW w:w="714" w:type="pct"/>
            <w:tcBorders>
              <w:top w:val="nil"/>
              <w:left w:val="nil"/>
              <w:bottom w:val="single" w:sz="4" w:space="0" w:color="000000"/>
              <w:right w:val="single" w:sz="4" w:space="0" w:color="000000"/>
            </w:tcBorders>
            <w:shd w:val="clear" w:color="auto" w:fill="auto"/>
            <w:noWrap/>
            <w:vAlign w:val="center"/>
            <w:hideMark/>
          </w:tcPr>
          <w:p w14:paraId="0E9FCB06" w14:textId="77777777" w:rsidR="006E2F7A" w:rsidRPr="000D12AE" w:rsidRDefault="006E2F7A" w:rsidP="000122FB">
            <w:pPr>
              <w:jc w:val="center"/>
              <w:rPr>
                <w:rFonts w:cs="Arial"/>
                <w:sz w:val="18"/>
                <w:szCs w:val="18"/>
                <w:lang w:eastAsia="sk-SK"/>
              </w:rPr>
            </w:pPr>
            <w:r w:rsidRPr="000D12AE">
              <w:rPr>
                <w:rFonts w:cs="Arial"/>
                <w:sz w:val="18"/>
                <w:szCs w:val="18"/>
                <w:lang w:eastAsia="sk-SK"/>
              </w:rPr>
              <w:t>400</w:t>
            </w:r>
            <w:r>
              <w:rPr>
                <w:rFonts w:cs="Arial"/>
                <w:sz w:val="18"/>
                <w:szCs w:val="18"/>
                <w:lang w:eastAsia="sk-SK"/>
              </w:rPr>
              <w:t> </w:t>
            </w:r>
            <w:r w:rsidRPr="000D12AE">
              <w:rPr>
                <w:rFonts w:cs="Arial"/>
                <w:sz w:val="18"/>
                <w:szCs w:val="18"/>
                <w:lang w:eastAsia="sk-SK"/>
              </w:rPr>
              <w:t>000</w:t>
            </w:r>
            <w:r>
              <w:rPr>
                <w:rFonts w:cs="Arial"/>
                <w:sz w:val="18"/>
                <w:szCs w:val="18"/>
                <w:lang w:eastAsia="sk-SK"/>
              </w:rPr>
              <w:t>,00</w:t>
            </w:r>
          </w:p>
        </w:tc>
        <w:tc>
          <w:tcPr>
            <w:tcW w:w="683" w:type="pct"/>
            <w:tcBorders>
              <w:top w:val="nil"/>
              <w:left w:val="nil"/>
              <w:bottom w:val="single" w:sz="4" w:space="0" w:color="000000"/>
              <w:right w:val="single" w:sz="4" w:space="0" w:color="000000"/>
            </w:tcBorders>
            <w:shd w:val="clear" w:color="auto" w:fill="auto"/>
            <w:noWrap/>
            <w:vAlign w:val="center"/>
            <w:hideMark/>
          </w:tcPr>
          <w:p w14:paraId="233C4E9E" w14:textId="77777777" w:rsidR="006E2F7A" w:rsidRPr="000D12AE" w:rsidRDefault="006E2F7A" w:rsidP="000122FB">
            <w:pPr>
              <w:jc w:val="center"/>
              <w:rPr>
                <w:rFonts w:cs="Arial"/>
                <w:lang w:eastAsia="sk-SK"/>
              </w:rPr>
            </w:pPr>
            <w:r w:rsidRPr="000D12AE">
              <w:rPr>
                <w:rFonts w:cs="Arial"/>
                <w:lang w:eastAsia="sk-SK"/>
              </w:rPr>
              <w:t>4100033683</w:t>
            </w:r>
          </w:p>
        </w:tc>
        <w:tc>
          <w:tcPr>
            <w:tcW w:w="1176" w:type="pct"/>
            <w:tcBorders>
              <w:top w:val="nil"/>
              <w:left w:val="nil"/>
              <w:bottom w:val="single" w:sz="4" w:space="0" w:color="000000"/>
              <w:right w:val="single" w:sz="4" w:space="0" w:color="000000"/>
            </w:tcBorders>
            <w:shd w:val="clear" w:color="auto" w:fill="auto"/>
            <w:noWrap/>
            <w:vAlign w:val="center"/>
            <w:hideMark/>
          </w:tcPr>
          <w:p w14:paraId="5BA0C808" w14:textId="77777777" w:rsidR="006E2F7A" w:rsidRPr="000D12AE" w:rsidRDefault="006E2F7A" w:rsidP="000122FB">
            <w:pPr>
              <w:jc w:val="center"/>
              <w:rPr>
                <w:rFonts w:cs="Arial"/>
                <w:lang w:eastAsia="sk-SK"/>
              </w:rPr>
            </w:pPr>
            <w:r w:rsidRPr="000D12AE">
              <w:rPr>
                <w:rFonts w:cs="Arial"/>
                <w:lang w:eastAsia="sk-SK"/>
              </w:rPr>
              <w:t>SKSPPDIS000510504938</w:t>
            </w:r>
          </w:p>
        </w:tc>
        <w:tc>
          <w:tcPr>
            <w:tcW w:w="734" w:type="pct"/>
            <w:tcBorders>
              <w:top w:val="single" w:sz="4" w:space="0" w:color="000000"/>
              <w:left w:val="nil"/>
              <w:bottom w:val="single" w:sz="4" w:space="0" w:color="000000"/>
              <w:right w:val="single" w:sz="4" w:space="0" w:color="000000"/>
            </w:tcBorders>
            <w:shd w:val="clear" w:color="auto" w:fill="auto"/>
            <w:noWrap/>
            <w:vAlign w:val="center"/>
            <w:hideMark/>
          </w:tcPr>
          <w:p w14:paraId="4226C36E"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nil"/>
              <w:bottom w:val="single" w:sz="4" w:space="0" w:color="000000"/>
              <w:right w:val="single" w:sz="4" w:space="0" w:color="000000"/>
            </w:tcBorders>
            <w:shd w:val="clear" w:color="auto" w:fill="auto"/>
            <w:noWrap/>
            <w:vAlign w:val="center"/>
            <w:hideMark/>
          </w:tcPr>
          <w:p w14:paraId="64243BB5"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19CCDF62" w14:textId="77777777" w:rsidTr="006E2F7A">
        <w:trPr>
          <w:trHeight w:val="973"/>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51FE6312" w14:textId="77777777" w:rsidR="006E2F7A" w:rsidRPr="000D12AE" w:rsidRDefault="006E2F7A" w:rsidP="000122FB">
            <w:pPr>
              <w:jc w:val="center"/>
              <w:rPr>
                <w:rFonts w:cs="Arial"/>
                <w:lang w:eastAsia="sk-SK"/>
              </w:rPr>
            </w:pPr>
            <w:r w:rsidRPr="000D12AE">
              <w:rPr>
                <w:rFonts w:cs="Arial"/>
                <w:lang w:eastAsia="sk-SK"/>
              </w:rPr>
              <w:t>5</w:t>
            </w:r>
          </w:p>
        </w:tc>
        <w:tc>
          <w:tcPr>
            <w:tcW w:w="588" w:type="pct"/>
            <w:tcBorders>
              <w:top w:val="nil"/>
              <w:left w:val="nil"/>
              <w:bottom w:val="single" w:sz="4" w:space="0" w:color="auto"/>
              <w:right w:val="single" w:sz="4" w:space="0" w:color="auto"/>
            </w:tcBorders>
            <w:shd w:val="clear" w:color="auto" w:fill="auto"/>
            <w:vAlign w:val="center"/>
            <w:hideMark/>
          </w:tcPr>
          <w:p w14:paraId="3D51AF20" w14:textId="229F6353" w:rsidR="006E2F7A" w:rsidRDefault="006E2F7A" w:rsidP="000122FB">
            <w:pPr>
              <w:jc w:val="center"/>
              <w:rPr>
                <w:rFonts w:cs="Arial"/>
                <w:sz w:val="18"/>
                <w:szCs w:val="18"/>
                <w:lang w:eastAsia="sk-SK"/>
              </w:rPr>
            </w:pPr>
            <w:proofErr w:type="spellStart"/>
            <w:r w:rsidRPr="000D12AE">
              <w:rPr>
                <w:rFonts w:cs="Arial"/>
                <w:sz w:val="18"/>
                <w:szCs w:val="18"/>
                <w:lang w:eastAsia="sk-SK"/>
              </w:rPr>
              <w:t>Adminstratívna</w:t>
            </w:r>
            <w:proofErr w:type="spellEnd"/>
            <w:r w:rsidRPr="000D12AE">
              <w:rPr>
                <w:rFonts w:cs="Arial"/>
                <w:sz w:val="18"/>
                <w:szCs w:val="18"/>
                <w:lang w:eastAsia="sk-SK"/>
              </w:rPr>
              <w:t xml:space="preserve"> budova HZS- Tatranská </w:t>
            </w:r>
            <w:r w:rsidR="008A0DE6" w:rsidRPr="000E0B9A">
              <w:rPr>
                <w:rFonts w:cs="Arial"/>
                <w:sz w:val="18"/>
                <w:szCs w:val="18"/>
                <w:lang w:eastAsia="sk-SK"/>
              </w:rPr>
              <w:t>L</w:t>
            </w:r>
            <w:r w:rsidRPr="000E0B9A">
              <w:rPr>
                <w:rFonts w:cs="Arial"/>
                <w:sz w:val="18"/>
                <w:szCs w:val="18"/>
                <w:lang w:eastAsia="sk-SK"/>
              </w:rPr>
              <w:t>o</w:t>
            </w:r>
            <w:r w:rsidRPr="000D12AE">
              <w:rPr>
                <w:rFonts w:cs="Arial"/>
                <w:sz w:val="18"/>
                <w:szCs w:val="18"/>
                <w:lang w:eastAsia="sk-SK"/>
              </w:rPr>
              <w:t>mnica</w:t>
            </w:r>
            <w:r w:rsidR="00F427BC">
              <w:rPr>
                <w:rFonts w:cs="Arial"/>
                <w:sz w:val="18"/>
                <w:szCs w:val="18"/>
                <w:lang w:eastAsia="sk-SK"/>
              </w:rPr>
              <w:t xml:space="preserve"> 14079</w:t>
            </w:r>
          </w:p>
          <w:p w14:paraId="03124CF8" w14:textId="15B19606" w:rsidR="00EB577D" w:rsidRDefault="00EB577D" w:rsidP="000122FB">
            <w:pPr>
              <w:jc w:val="center"/>
              <w:rPr>
                <w:rFonts w:cs="Arial"/>
                <w:sz w:val="18"/>
                <w:szCs w:val="18"/>
                <w:lang w:eastAsia="sk-SK"/>
              </w:rPr>
            </w:pPr>
            <w:r>
              <w:rPr>
                <w:rFonts w:cs="Arial"/>
                <w:sz w:val="18"/>
                <w:szCs w:val="18"/>
                <w:lang w:eastAsia="sk-SK"/>
              </w:rPr>
              <w:t>062 01 Vysoké Tatry</w:t>
            </w:r>
          </w:p>
          <w:p w14:paraId="272B9BF5" w14:textId="2649CF35" w:rsidR="00EB577D" w:rsidRPr="000D12AE" w:rsidRDefault="00EB577D" w:rsidP="000122FB">
            <w:pPr>
              <w:jc w:val="center"/>
              <w:rPr>
                <w:rFonts w:cs="Arial"/>
                <w:sz w:val="18"/>
                <w:szCs w:val="18"/>
                <w:lang w:eastAsia="sk-SK"/>
              </w:rPr>
            </w:pPr>
          </w:p>
        </w:tc>
        <w:tc>
          <w:tcPr>
            <w:tcW w:w="714" w:type="pct"/>
            <w:tcBorders>
              <w:top w:val="nil"/>
              <w:left w:val="nil"/>
              <w:bottom w:val="nil"/>
              <w:right w:val="single" w:sz="4" w:space="0" w:color="000000"/>
            </w:tcBorders>
            <w:shd w:val="clear" w:color="auto" w:fill="auto"/>
            <w:noWrap/>
            <w:vAlign w:val="center"/>
            <w:hideMark/>
          </w:tcPr>
          <w:p w14:paraId="4F0AC77E" w14:textId="77777777" w:rsidR="006E2F7A" w:rsidRPr="000D12AE" w:rsidRDefault="006E2F7A" w:rsidP="000122FB">
            <w:pPr>
              <w:jc w:val="center"/>
              <w:rPr>
                <w:rFonts w:cs="Arial"/>
                <w:sz w:val="18"/>
                <w:szCs w:val="18"/>
                <w:lang w:eastAsia="sk-SK"/>
              </w:rPr>
            </w:pPr>
            <w:r w:rsidRPr="000D12AE">
              <w:rPr>
                <w:rFonts w:cs="Arial"/>
                <w:sz w:val="18"/>
                <w:szCs w:val="18"/>
                <w:lang w:eastAsia="sk-SK"/>
              </w:rPr>
              <w:t>1</w:t>
            </w:r>
            <w:r>
              <w:rPr>
                <w:rFonts w:cs="Arial"/>
                <w:sz w:val="18"/>
                <w:szCs w:val="18"/>
                <w:lang w:eastAsia="sk-SK"/>
              </w:rPr>
              <w:t> </w:t>
            </w:r>
            <w:r w:rsidRPr="000D12AE">
              <w:rPr>
                <w:rFonts w:cs="Arial"/>
                <w:sz w:val="18"/>
                <w:szCs w:val="18"/>
                <w:lang w:eastAsia="sk-SK"/>
              </w:rPr>
              <w:t>000</w:t>
            </w:r>
            <w:r>
              <w:rPr>
                <w:rFonts w:cs="Arial"/>
                <w:sz w:val="18"/>
                <w:szCs w:val="18"/>
                <w:lang w:eastAsia="sk-SK"/>
              </w:rPr>
              <w:t>,00</w:t>
            </w:r>
          </w:p>
        </w:tc>
        <w:tc>
          <w:tcPr>
            <w:tcW w:w="683" w:type="pct"/>
            <w:tcBorders>
              <w:top w:val="nil"/>
              <w:left w:val="nil"/>
              <w:bottom w:val="nil"/>
              <w:right w:val="single" w:sz="4" w:space="0" w:color="000000"/>
            </w:tcBorders>
            <w:shd w:val="clear" w:color="auto" w:fill="auto"/>
            <w:noWrap/>
            <w:vAlign w:val="center"/>
            <w:hideMark/>
          </w:tcPr>
          <w:p w14:paraId="6B93FD2B" w14:textId="77777777" w:rsidR="006E2F7A" w:rsidRPr="000D12AE" w:rsidRDefault="006E2F7A" w:rsidP="000122FB">
            <w:pPr>
              <w:jc w:val="center"/>
              <w:rPr>
                <w:rFonts w:cs="Arial"/>
                <w:lang w:eastAsia="sk-SK"/>
              </w:rPr>
            </w:pPr>
            <w:r w:rsidRPr="000D12AE">
              <w:rPr>
                <w:rFonts w:cs="Arial"/>
                <w:lang w:eastAsia="sk-SK"/>
              </w:rPr>
              <w:t>4100051485</w:t>
            </w:r>
          </w:p>
        </w:tc>
        <w:tc>
          <w:tcPr>
            <w:tcW w:w="1176" w:type="pct"/>
            <w:tcBorders>
              <w:top w:val="nil"/>
              <w:left w:val="nil"/>
              <w:bottom w:val="nil"/>
              <w:right w:val="single" w:sz="4" w:space="0" w:color="000000"/>
            </w:tcBorders>
            <w:shd w:val="clear" w:color="auto" w:fill="auto"/>
            <w:noWrap/>
            <w:vAlign w:val="center"/>
            <w:hideMark/>
          </w:tcPr>
          <w:p w14:paraId="27645701" w14:textId="77777777" w:rsidR="006E2F7A" w:rsidRPr="000D12AE" w:rsidRDefault="006E2F7A" w:rsidP="000122FB">
            <w:pPr>
              <w:jc w:val="center"/>
              <w:rPr>
                <w:rFonts w:cs="Arial"/>
                <w:lang w:eastAsia="sk-SK"/>
              </w:rPr>
            </w:pPr>
            <w:r w:rsidRPr="000D12AE">
              <w:rPr>
                <w:rFonts w:cs="Arial"/>
                <w:lang w:eastAsia="sk-SK"/>
              </w:rPr>
              <w:t>SKSPPDIS001010903875</w:t>
            </w:r>
          </w:p>
        </w:tc>
        <w:tc>
          <w:tcPr>
            <w:tcW w:w="734" w:type="pct"/>
            <w:tcBorders>
              <w:top w:val="nil"/>
              <w:left w:val="nil"/>
              <w:bottom w:val="nil"/>
              <w:right w:val="single" w:sz="4" w:space="0" w:color="000000"/>
            </w:tcBorders>
            <w:shd w:val="clear" w:color="auto" w:fill="auto"/>
            <w:noWrap/>
            <w:vAlign w:val="center"/>
            <w:hideMark/>
          </w:tcPr>
          <w:p w14:paraId="4F6A88EB" w14:textId="77777777" w:rsidR="006E2F7A" w:rsidRPr="000D12AE" w:rsidRDefault="006E2F7A" w:rsidP="000122FB">
            <w:pPr>
              <w:jc w:val="center"/>
              <w:rPr>
                <w:rFonts w:cs="Arial"/>
                <w:lang w:eastAsia="sk-SK"/>
              </w:rPr>
            </w:pPr>
            <w:r w:rsidRPr="000D12AE">
              <w:rPr>
                <w:rFonts w:cs="Arial"/>
                <w:lang w:eastAsia="sk-SK"/>
              </w:rPr>
              <w:t>MO</w:t>
            </w:r>
          </w:p>
        </w:tc>
        <w:tc>
          <w:tcPr>
            <w:tcW w:w="884" w:type="pct"/>
            <w:tcBorders>
              <w:top w:val="nil"/>
              <w:left w:val="nil"/>
              <w:bottom w:val="nil"/>
              <w:right w:val="single" w:sz="4" w:space="0" w:color="000000"/>
            </w:tcBorders>
            <w:shd w:val="clear" w:color="auto" w:fill="auto"/>
            <w:noWrap/>
            <w:vAlign w:val="center"/>
            <w:hideMark/>
          </w:tcPr>
          <w:p w14:paraId="45138B1E" w14:textId="77777777" w:rsidR="006E2F7A" w:rsidRPr="000D12AE" w:rsidRDefault="006E2F7A" w:rsidP="000122FB">
            <w:pPr>
              <w:jc w:val="center"/>
              <w:rPr>
                <w:rFonts w:cs="Arial"/>
                <w:lang w:eastAsia="sk-SK"/>
              </w:rPr>
            </w:pPr>
            <w:r w:rsidRPr="000D12AE">
              <w:rPr>
                <w:rFonts w:cs="Arial"/>
                <w:lang w:eastAsia="sk-SK"/>
              </w:rPr>
              <w:t>MO- bez DMM</w:t>
            </w:r>
          </w:p>
        </w:tc>
      </w:tr>
      <w:tr w:rsidR="006E2F7A" w:rsidRPr="000D12AE" w14:paraId="169E79AB" w14:textId="77777777" w:rsidTr="006E2F7A">
        <w:trPr>
          <w:trHeight w:val="290"/>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14:paraId="63A27224" w14:textId="77777777" w:rsidR="006E2F7A" w:rsidRPr="000D12AE" w:rsidRDefault="006E2F7A" w:rsidP="000122FB">
            <w:pPr>
              <w:rPr>
                <w:rFonts w:cs="Arial"/>
                <w:lang w:eastAsia="sk-SK"/>
              </w:rPr>
            </w:pPr>
            <w:r w:rsidRPr="000D12AE">
              <w:rPr>
                <w:rFonts w:cs="Arial"/>
                <w:lang w:eastAsia="sk-SK"/>
              </w:rPr>
              <w:t> </w:t>
            </w:r>
          </w:p>
        </w:tc>
        <w:tc>
          <w:tcPr>
            <w:tcW w:w="588" w:type="pct"/>
            <w:tcBorders>
              <w:top w:val="nil"/>
              <w:left w:val="nil"/>
              <w:bottom w:val="single" w:sz="4" w:space="0" w:color="auto"/>
              <w:right w:val="single" w:sz="4" w:space="0" w:color="auto"/>
            </w:tcBorders>
            <w:shd w:val="clear" w:color="auto" w:fill="auto"/>
            <w:vAlign w:val="center"/>
            <w:hideMark/>
          </w:tcPr>
          <w:p w14:paraId="6A01AA1D" w14:textId="77777777" w:rsidR="006E2F7A" w:rsidRPr="000D12AE" w:rsidRDefault="006E2F7A" w:rsidP="000122FB">
            <w:pPr>
              <w:jc w:val="center"/>
              <w:rPr>
                <w:rFonts w:cs="Arial"/>
                <w:sz w:val="18"/>
                <w:szCs w:val="18"/>
                <w:lang w:eastAsia="sk-SK"/>
              </w:rPr>
            </w:pPr>
            <w:r w:rsidRPr="000D12AE">
              <w:rPr>
                <w:rFonts w:cs="Arial"/>
                <w:sz w:val="18"/>
                <w:szCs w:val="18"/>
                <w:lang w:eastAsia="sk-SK"/>
              </w:rPr>
              <w:t>SPOU:</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14:paraId="5CE80EF9" w14:textId="77777777" w:rsidR="006E2F7A" w:rsidRPr="000D12AE" w:rsidRDefault="006E2F7A" w:rsidP="000122FB">
            <w:pPr>
              <w:jc w:val="center"/>
              <w:rPr>
                <w:rFonts w:cs="Arial"/>
                <w:b/>
                <w:bCs/>
                <w:lang w:eastAsia="sk-SK"/>
              </w:rPr>
            </w:pPr>
            <w:r w:rsidRPr="000D12AE">
              <w:rPr>
                <w:rFonts w:cs="Arial"/>
                <w:b/>
                <w:bCs/>
                <w:lang w:eastAsia="sk-SK"/>
              </w:rPr>
              <w:t>1 203 000,00</w:t>
            </w:r>
          </w:p>
        </w:tc>
        <w:tc>
          <w:tcPr>
            <w:tcW w:w="683" w:type="pct"/>
            <w:tcBorders>
              <w:top w:val="single" w:sz="4" w:space="0" w:color="auto"/>
              <w:left w:val="nil"/>
              <w:bottom w:val="single" w:sz="4" w:space="0" w:color="auto"/>
              <w:right w:val="single" w:sz="4" w:space="0" w:color="auto"/>
            </w:tcBorders>
            <w:shd w:val="clear" w:color="auto" w:fill="auto"/>
            <w:noWrap/>
            <w:vAlign w:val="bottom"/>
            <w:hideMark/>
          </w:tcPr>
          <w:p w14:paraId="4D934AA3" w14:textId="77777777" w:rsidR="006E2F7A" w:rsidRPr="000D12AE" w:rsidRDefault="006E2F7A" w:rsidP="000122FB">
            <w:pPr>
              <w:rPr>
                <w:rFonts w:cs="Arial"/>
                <w:lang w:eastAsia="sk-SK"/>
              </w:rPr>
            </w:pPr>
            <w:r w:rsidRPr="000D12AE">
              <w:rPr>
                <w:rFonts w:cs="Arial"/>
                <w:lang w:eastAsia="sk-SK"/>
              </w:rPr>
              <w:t> </w:t>
            </w:r>
          </w:p>
        </w:tc>
        <w:tc>
          <w:tcPr>
            <w:tcW w:w="1176" w:type="pct"/>
            <w:tcBorders>
              <w:top w:val="single" w:sz="4" w:space="0" w:color="auto"/>
              <w:left w:val="nil"/>
              <w:bottom w:val="single" w:sz="4" w:space="0" w:color="auto"/>
              <w:right w:val="single" w:sz="4" w:space="0" w:color="auto"/>
            </w:tcBorders>
            <w:shd w:val="clear" w:color="auto" w:fill="auto"/>
            <w:noWrap/>
            <w:vAlign w:val="bottom"/>
            <w:hideMark/>
          </w:tcPr>
          <w:p w14:paraId="26A32370" w14:textId="77777777" w:rsidR="006E2F7A" w:rsidRPr="000D12AE" w:rsidRDefault="006E2F7A" w:rsidP="000122FB">
            <w:pPr>
              <w:rPr>
                <w:rFonts w:cs="Arial"/>
                <w:lang w:eastAsia="sk-SK"/>
              </w:rPr>
            </w:pPr>
            <w:r w:rsidRPr="000D12AE">
              <w:rPr>
                <w:rFonts w:cs="Arial"/>
                <w:lang w:eastAsia="sk-SK"/>
              </w:rPr>
              <w:t> </w:t>
            </w:r>
          </w:p>
        </w:tc>
        <w:tc>
          <w:tcPr>
            <w:tcW w:w="734" w:type="pct"/>
            <w:tcBorders>
              <w:top w:val="single" w:sz="4" w:space="0" w:color="auto"/>
              <w:left w:val="nil"/>
              <w:bottom w:val="single" w:sz="4" w:space="0" w:color="auto"/>
              <w:right w:val="single" w:sz="4" w:space="0" w:color="auto"/>
            </w:tcBorders>
            <w:shd w:val="clear" w:color="auto" w:fill="auto"/>
            <w:noWrap/>
            <w:vAlign w:val="bottom"/>
            <w:hideMark/>
          </w:tcPr>
          <w:p w14:paraId="5B933975" w14:textId="77777777" w:rsidR="006E2F7A" w:rsidRPr="000D12AE" w:rsidRDefault="006E2F7A" w:rsidP="000122FB">
            <w:pPr>
              <w:rPr>
                <w:rFonts w:cs="Arial"/>
                <w:lang w:eastAsia="sk-SK"/>
              </w:rPr>
            </w:pPr>
            <w:r w:rsidRPr="000D12AE">
              <w:rPr>
                <w:rFonts w:cs="Arial"/>
                <w:lang w:eastAsia="sk-SK"/>
              </w:rPr>
              <w:t> </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3A101911" w14:textId="77777777" w:rsidR="006E2F7A" w:rsidRPr="000D12AE" w:rsidRDefault="006E2F7A" w:rsidP="000122FB">
            <w:pPr>
              <w:rPr>
                <w:rFonts w:cs="Arial"/>
                <w:lang w:eastAsia="sk-SK"/>
              </w:rPr>
            </w:pPr>
            <w:r w:rsidRPr="000D12AE">
              <w:rPr>
                <w:rFonts w:cs="Arial"/>
                <w:lang w:eastAsia="sk-SK"/>
              </w:rPr>
              <w:t> </w:t>
            </w:r>
          </w:p>
        </w:tc>
      </w:tr>
    </w:tbl>
    <w:p w14:paraId="367DB706" w14:textId="00A6D46E" w:rsidR="00F5166C" w:rsidRPr="0089352C" w:rsidRDefault="006D56B2" w:rsidP="006E2F7A">
      <w:r>
        <w:br w:type="page"/>
      </w:r>
    </w:p>
    <w:p w14:paraId="79043286" w14:textId="77777777" w:rsidR="00452DE6" w:rsidRPr="0089352C" w:rsidRDefault="00452DE6" w:rsidP="00541433">
      <w:pPr>
        <w:pStyle w:val="Odsekzoznamu"/>
        <w:ind w:left="0"/>
        <w:rPr>
          <w:b/>
          <w:bCs/>
        </w:rPr>
        <w:sectPr w:rsidR="00452DE6" w:rsidRPr="0089352C" w:rsidSect="00881EA9">
          <w:headerReference w:type="default" r:id="rId10"/>
          <w:footerReference w:type="default" r:id="rId11"/>
          <w:pgSz w:w="11910" w:h="16840"/>
          <w:pgMar w:top="1321" w:right="1134" w:bottom="680" w:left="1134" w:header="709" w:footer="709" w:gutter="0"/>
          <w:cols w:space="708"/>
          <w:docGrid w:linePitch="299"/>
        </w:sectPr>
      </w:pPr>
    </w:p>
    <w:p w14:paraId="4D8EA04A" w14:textId="666E482A" w:rsidR="00165074" w:rsidRPr="0089352C" w:rsidRDefault="00165074" w:rsidP="00165074">
      <w:pPr>
        <w:widowControl/>
        <w:autoSpaceDE/>
        <w:autoSpaceDN/>
        <w:spacing w:before="0" w:after="0"/>
        <w:jc w:val="center"/>
        <w:rPr>
          <w:b/>
        </w:rPr>
      </w:pPr>
      <w:r w:rsidRPr="0089352C">
        <w:rPr>
          <w:b/>
        </w:rPr>
        <w:lastRenderedPageBreak/>
        <w:t>Príloha č. 3</w:t>
      </w:r>
    </w:p>
    <w:p w14:paraId="2FD36154" w14:textId="77777777" w:rsidR="00165074" w:rsidRPr="0089352C" w:rsidRDefault="00165074" w:rsidP="00165074">
      <w:pPr>
        <w:widowControl/>
        <w:autoSpaceDE/>
        <w:autoSpaceDN/>
        <w:spacing w:before="0" w:after="0"/>
        <w:jc w:val="center"/>
        <w:rPr>
          <w:b/>
          <w:bCs/>
        </w:rPr>
      </w:pP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7777777" w:rsidR="00165074" w:rsidRPr="0089352C" w:rsidRDefault="00165074" w:rsidP="00165074">
      <w:pPr>
        <w:pStyle w:val="Zoznam5"/>
      </w:pPr>
      <w:r w:rsidRPr="0089352C">
        <w:t xml:space="preserve">Cena za dodávku plyn je vo výške </w:t>
      </w:r>
      <w:r w:rsidRPr="0089352C">
        <w:rPr>
          <w:b/>
          <w:bCs/>
        </w:rPr>
        <w:t>[</w:t>
      </w:r>
      <w:r w:rsidRPr="0089352C">
        <w:rPr>
          <w:b/>
          <w:bCs/>
        </w:rPr>
        <w:sym w:font="Wingdings" w:char="F09F"/>
      </w:r>
      <w:r w:rsidRPr="0089352C">
        <w:rPr>
          <w:b/>
          <w:bCs/>
        </w:rPr>
        <w:t xml:space="preserve">] </w:t>
      </w:r>
      <w:r w:rsidRPr="0089352C">
        <w:t xml:space="preserve">(cena úspešného uchádzača)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253DA170" w:rsidR="00165074" w:rsidRPr="00FB1F08" w:rsidRDefault="00165074" w:rsidP="00165074">
      <w:pPr>
        <w:pStyle w:val="Zoznam5"/>
      </w:pPr>
      <w:r w:rsidRPr="00FB1F08">
        <w:t xml:space="preserve">Cena za dodávku plynu zahŕňa aj cenu Poskytovateľa za prevzatie zodpovedností za odchýlku za Odberné miesta voči </w:t>
      </w:r>
      <w:proofErr w:type="spellStart"/>
      <w:r w:rsidRPr="00FB1F08">
        <w:t>zúčtovateľovi</w:t>
      </w:r>
      <w:proofErr w:type="spellEnd"/>
      <w:r w:rsidRPr="00FB1F08">
        <w:t xml:space="preserve"> odchýlok a všetky jeho ekonomicky oprávnené náklady účelne vynaložené v súvislosti s poskytovaním Zmluvných plnení podľa tejto Zmluvy a primeraný zisk Poskytovateľa.</w:t>
      </w:r>
    </w:p>
    <w:p w14:paraId="286DBB21" w14:textId="77777777" w:rsidR="00165074" w:rsidRPr="0089352C" w:rsidRDefault="00165074" w:rsidP="00165074">
      <w:pPr>
        <w:pStyle w:val="Zoznam4"/>
      </w:pPr>
      <w:r w:rsidRPr="0089352C">
        <w:t>Vyhodnotenie spotrebovaného množstva plynu</w:t>
      </w:r>
    </w:p>
    <w:p w14:paraId="14B09AD6" w14:textId="3D857880" w:rsidR="00165074" w:rsidRPr="0089352C" w:rsidRDefault="00165074" w:rsidP="00165074">
      <w:pPr>
        <w:pStyle w:val="Zoznam5"/>
      </w:pPr>
      <w:r w:rsidRPr="0089352C">
        <w:t xml:space="preserve">V prípade, že Objednávateľ počas Zmluvného obdobia odoberie menšie množstvo plynu ako je </w:t>
      </w:r>
      <w:r w:rsidR="00133F13" w:rsidRPr="00133F13">
        <w:t>80</w:t>
      </w:r>
      <w:r w:rsidRPr="0089352C">
        <w:t>% Predpokladaného odberu, Poskytovateľovi vznikne nárok na zaplatenie poplatku vo výške 50% Ceny za dodávku plynu za množstvo neodobratého plynu (ďalej len „</w:t>
      </w:r>
      <w:r w:rsidRPr="0089352C">
        <w:rPr>
          <w:b/>
          <w:bCs/>
        </w:rPr>
        <w:t>Cena za neodobratý plyn</w:t>
      </w:r>
      <w:r w:rsidRPr="0089352C">
        <w:t>“).</w:t>
      </w:r>
    </w:p>
    <w:p w14:paraId="5630BFE9" w14:textId="02056C3A" w:rsidR="00165074" w:rsidRPr="0089352C" w:rsidRDefault="00165074" w:rsidP="00165074">
      <w:pPr>
        <w:pStyle w:val="Zoznam5"/>
      </w:pPr>
      <w:r w:rsidRPr="0089352C">
        <w:t xml:space="preserve">Množstvo neodobratého plynu sa vypočíta ako rozdiel medzi </w:t>
      </w:r>
      <w:r w:rsidR="00133F13" w:rsidRPr="00133F13">
        <w:t>80</w:t>
      </w:r>
      <w:r w:rsidRPr="0089352C">
        <w:t>% Predpokladaného odberu a skutočne odobratého plynu počas Zmluvného obdobia.</w:t>
      </w:r>
    </w:p>
    <w:p w14:paraId="273F2204" w14:textId="5AFCA3B3" w:rsidR="00165074" w:rsidRPr="0089352C" w:rsidRDefault="00165074" w:rsidP="00165074">
      <w:pPr>
        <w:pStyle w:val="Zoznam5"/>
      </w:pPr>
      <w:r w:rsidRPr="0089352C">
        <w:t xml:space="preserve">V prípade, že Objednávateľ počas Zmluvného obdobia odoberie väčšie množstvo plynu ako je </w:t>
      </w:r>
      <w:r w:rsidRPr="00133F13">
        <w:t>120</w:t>
      </w:r>
      <w:r w:rsidRPr="0089352C">
        <w:t xml:space="preserve">% Predpokladaného odberu, Objednávateľ zaplatí Poskytovateľovi za množstvo plynu prevyšujúce 120% Predpokladaného odberu miesto Ceny za dodávku plynu cenu vo výške 1,1 násobku ceny plynu odvodenej </w:t>
      </w:r>
      <w:r w:rsidR="00A20BC3">
        <w:br/>
      </w:r>
      <w:r w:rsidRPr="0089352C">
        <w:t xml:space="preserve">od ceny na krátkodobom trhu </w:t>
      </w:r>
      <w:r w:rsidRPr="0089352C">
        <w:rPr>
          <w:b/>
          <w:bCs/>
        </w:rPr>
        <w:t xml:space="preserve">THE </w:t>
      </w:r>
      <w:proofErr w:type="spellStart"/>
      <w:r w:rsidRPr="0089352C">
        <w:rPr>
          <w:b/>
          <w:bCs/>
        </w:rPr>
        <w:t>Davg</w:t>
      </w:r>
      <w:proofErr w:type="spellEnd"/>
      <w:r w:rsidRPr="0089352C">
        <w:t xml:space="preserve"> (ďalej len „</w:t>
      </w:r>
      <w:r w:rsidRPr="0089352C">
        <w:rPr>
          <w:b/>
          <w:bCs/>
        </w:rPr>
        <w:t>Cena za prekročené množstvo</w:t>
      </w:r>
      <w:r w:rsidRPr="0089352C">
        <w:t>“).</w:t>
      </w:r>
    </w:p>
    <w:p w14:paraId="3C08BB29" w14:textId="77777777" w:rsidR="00165074" w:rsidRPr="0089352C" w:rsidRDefault="00165074" w:rsidP="00165074">
      <w:pPr>
        <w:pStyle w:val="Zoznamsodrkami"/>
      </w:pPr>
      <w:r w:rsidRPr="0089352C">
        <w:t xml:space="preserve">THE </w:t>
      </w:r>
      <w:proofErr w:type="spellStart"/>
      <w:r w:rsidRPr="0089352C">
        <w:t>Davg</w:t>
      </w:r>
      <w:proofErr w:type="spellEnd"/>
      <w:r w:rsidRPr="0089352C">
        <w:t xml:space="preserve"> predstavuje aritmetický priemer spotových cien s označením „</w:t>
      </w:r>
      <w:proofErr w:type="spellStart"/>
      <w:r w:rsidRPr="0089352C">
        <w:t>Last</w:t>
      </w:r>
      <w:proofErr w:type="spellEnd"/>
      <w:r w:rsidRPr="0089352C">
        <w:t xml:space="preserve"> </w:t>
      </w:r>
      <w:proofErr w:type="spellStart"/>
      <w:r w:rsidRPr="0089352C">
        <w:t>Price</w:t>
      </w:r>
      <w:proofErr w:type="spellEnd"/>
      <w:r w:rsidRPr="0089352C">
        <w:t>“ pre oblasť dodávky THE „</w:t>
      </w:r>
      <w:proofErr w:type="spellStart"/>
      <w:r w:rsidRPr="0089352C">
        <w:t>Trading</w:t>
      </w:r>
      <w:proofErr w:type="spellEnd"/>
      <w:r w:rsidRPr="0089352C">
        <w:t xml:space="preserve"> Hub </w:t>
      </w:r>
      <w:proofErr w:type="spellStart"/>
      <w:r w:rsidRPr="0089352C">
        <w:t>Europe</w:t>
      </w:r>
      <w:proofErr w:type="spellEnd"/>
      <w:r w:rsidRPr="0089352C">
        <w:t xml:space="preserve">“ v EUR/MWh za každý obchodný deň Zmluvného obdobia publikované web stránke komoditnej burzy s obchodným názvom </w:t>
      </w:r>
      <w:proofErr w:type="spellStart"/>
      <w:r w:rsidRPr="0089352C">
        <w:t>European</w:t>
      </w:r>
      <w:proofErr w:type="spellEnd"/>
      <w:r w:rsidRPr="0089352C">
        <w:t xml:space="preserve"> Energy Exchange AG (www.eex.com) zverejňovanej v časti </w:t>
      </w:r>
      <w:proofErr w:type="spellStart"/>
      <w:r w:rsidRPr="0089352C">
        <w:t>Market</w:t>
      </w:r>
      <w:proofErr w:type="spellEnd"/>
      <w:r w:rsidRPr="0089352C">
        <w:t xml:space="preserve"> </w:t>
      </w:r>
      <w:proofErr w:type="spellStart"/>
      <w:r w:rsidRPr="0089352C">
        <w:t>Data</w:t>
      </w:r>
      <w:proofErr w:type="spellEnd"/>
      <w:r w:rsidRPr="0089352C">
        <w:t xml:space="preserve">, </w:t>
      </w:r>
      <w:proofErr w:type="spellStart"/>
      <w:r w:rsidRPr="0089352C">
        <w:t>Natural</w:t>
      </w:r>
      <w:proofErr w:type="spellEnd"/>
      <w:r w:rsidRPr="0089352C">
        <w:t xml:space="preserve"> </w:t>
      </w:r>
      <w:proofErr w:type="spellStart"/>
      <w:r w:rsidRPr="0089352C">
        <w:t>Gas</w:t>
      </w:r>
      <w:proofErr w:type="spellEnd"/>
      <w:r w:rsidRPr="0089352C">
        <w:t xml:space="preserve">, Spot, pre produkty THE </w:t>
      </w:r>
      <w:proofErr w:type="spellStart"/>
      <w:r w:rsidRPr="0089352C">
        <w:t>Day-Ahead</w:t>
      </w:r>
      <w:proofErr w:type="spellEnd"/>
      <w:r w:rsidRPr="0089352C">
        <w:t xml:space="preserve"> a THE </w:t>
      </w:r>
      <w:proofErr w:type="spellStart"/>
      <w:r w:rsidRPr="0089352C">
        <w:t>Weekend</w:t>
      </w:r>
      <w:proofErr w:type="spellEnd"/>
      <w:r w:rsidRPr="0089352C">
        <w:t>.</w:t>
      </w:r>
    </w:p>
    <w:p w14:paraId="3600E737" w14:textId="77777777" w:rsidR="00165074" w:rsidRPr="0089352C" w:rsidRDefault="00165074" w:rsidP="00165074">
      <w:pPr>
        <w:pStyle w:val="Zoznamsodrkami"/>
      </w:pPr>
      <w:r w:rsidRPr="0089352C">
        <w:t xml:space="preserve">Ku dňu podpisu Zmluvy sú hodnoty spotových cien zverejňované na stránke </w:t>
      </w:r>
      <w:hyperlink r:id="rId12" w:history="1">
        <w:r w:rsidRPr="0089352C">
          <w:rPr>
            <w:rStyle w:val="Hypertextovprepojenie"/>
          </w:rPr>
          <w:t>https://www.eex.com/en/market-data/natural-gas/spot</w:t>
        </w:r>
      </w:hyperlink>
      <w:r w:rsidRPr="0089352C">
        <w:t>.</w:t>
      </w:r>
    </w:p>
    <w:p w14:paraId="5BB30238" w14:textId="77777777" w:rsidR="00165074" w:rsidRPr="0089352C" w:rsidRDefault="00165074" w:rsidP="00165074">
      <w:pPr>
        <w:pStyle w:val="Zoznamsodrkami"/>
      </w:pPr>
      <w:r w:rsidRPr="0089352C">
        <w:t>Dodávateľ zašle Odberateľovi po uplynutí každého kalendárneho mesiaca všetky údaje (spotové ceny za každý obchodný deň predchádzajúceho kalendárneho mesiaca) vstupujúce do tohto výpočtu.</w:t>
      </w:r>
    </w:p>
    <w:p w14:paraId="7D6904FE" w14:textId="77777777" w:rsidR="00165074" w:rsidRPr="0089352C" w:rsidRDefault="00165074" w:rsidP="00165074">
      <w:pPr>
        <w:pStyle w:val="Zoznam5"/>
        <w:spacing w:after="0"/>
      </w:pPr>
      <w:r w:rsidRPr="0089352C">
        <w:t>Napr. ak Objednávateľ odoberie množstvo plynu vo výške 75% z Predpokladaného odberu, zaplatí:</w:t>
      </w:r>
    </w:p>
    <w:p w14:paraId="40F17EA2" w14:textId="77777777" w:rsidR="00165074" w:rsidRPr="0089352C" w:rsidRDefault="00165074" w:rsidP="00945EF0">
      <w:pPr>
        <w:pStyle w:val="Zoznamsodrkami2"/>
        <w:jc w:val="both"/>
      </w:pPr>
      <w:r w:rsidRPr="0089352C">
        <w:t>za množstvo spotrebovaného plynu (v objeme 75% z Predpokladaného odberu) Cenu za dodávku plynu a</w:t>
      </w:r>
    </w:p>
    <w:p w14:paraId="0B93D828" w14:textId="5B45C113" w:rsidR="00165074" w:rsidRPr="0089352C" w:rsidRDefault="00165074" w:rsidP="00945EF0">
      <w:pPr>
        <w:pStyle w:val="Zoznamsodrkami2"/>
        <w:jc w:val="both"/>
      </w:pPr>
      <w:r w:rsidRPr="0089352C">
        <w:t xml:space="preserve">za množstvo plynu v objeme 5% z Predpokladaného odberu (množstvo neodobratého plynu) Cenu </w:t>
      </w:r>
      <w:r w:rsidR="00945EF0">
        <w:br/>
      </w:r>
      <w:r w:rsidRPr="0089352C">
        <w:t>za neodobratý plyn.</w:t>
      </w:r>
    </w:p>
    <w:p w14:paraId="41D83F10" w14:textId="77777777" w:rsidR="00165074" w:rsidRPr="0089352C" w:rsidRDefault="00165074" w:rsidP="00165074">
      <w:pPr>
        <w:pStyle w:val="Zoznam5"/>
        <w:spacing w:after="0"/>
      </w:pPr>
      <w:r w:rsidRPr="0089352C">
        <w:t>Napr. ak Objednávateľ odoberie množstvo plynu vo výške 130% z Predpokladaného odberu, zaplatí</w:t>
      </w:r>
    </w:p>
    <w:p w14:paraId="1FF81C0F" w14:textId="77777777" w:rsidR="00165074" w:rsidRPr="0089352C" w:rsidRDefault="00165074" w:rsidP="00DF6B10">
      <w:pPr>
        <w:pStyle w:val="Zoznamsodrkami2"/>
        <w:jc w:val="both"/>
      </w:pPr>
      <w:r w:rsidRPr="0089352C">
        <w:t>za množstvo spotrebovaného plynu v objeme 120% z Predpokladaného odberu Cenu za dodávku plynu a</w:t>
      </w:r>
    </w:p>
    <w:p w14:paraId="0C593DB9" w14:textId="77777777" w:rsidR="00165074" w:rsidRPr="0089352C" w:rsidRDefault="00165074" w:rsidP="00DF6B10">
      <w:pPr>
        <w:pStyle w:val="Zoznamsodrkami2"/>
        <w:jc w:val="both"/>
      </w:pPr>
      <w:r w:rsidRPr="0089352C">
        <w:t>za množstvo spotrebovaného plynu v objeme 10% z Predpokladaného odberu (množstvo prevyšujúce 120% z Predpokladaného odberu) Cenu za prekročené množstvo.</w:t>
      </w:r>
    </w:p>
    <w:p w14:paraId="56A1A69E" w14:textId="274A8DFD" w:rsidR="00165074" w:rsidRPr="0089352C" w:rsidRDefault="00165074" w:rsidP="00165074">
      <w:pPr>
        <w:pStyle w:val="Zoznam5"/>
      </w:pPr>
      <w:r w:rsidRPr="0089352C">
        <w:t>Vyhodnotenie spotrebovaného množstva plynu podľa predošlých bodov vykoná Poskytovateľ po ukončení Zmluvného obdobia a Cenu za neodobratý plyn (bod</w:t>
      </w:r>
      <w:r w:rsidR="00200A3A">
        <w:t xml:space="preserve"> 2.1. </w:t>
      </w:r>
      <w:r w:rsidRPr="0089352C">
        <w:t>tejto prílohy) alebo Cenu za prekročené množstvo (bod</w:t>
      </w:r>
      <w:r w:rsidRPr="0089352C">
        <w:rPr>
          <w:rStyle w:val="DocumentreferrenceChar"/>
          <w:rFonts w:eastAsia="Arial Narrow"/>
        </w:rPr>
        <w:t xml:space="preserve"> </w:t>
      </w:r>
      <w:r w:rsidR="007512D7">
        <w:rPr>
          <w:rStyle w:val="DocumentreferrenceChar"/>
          <w:rFonts w:eastAsia="Arial Narrow"/>
        </w:rPr>
        <w:t xml:space="preserve">   </w:t>
      </w:r>
      <w:r w:rsidR="007512D7">
        <w:rPr>
          <w:rStyle w:val="DocumentreferrenceChar"/>
          <w:rFonts w:eastAsia="Arial Narrow"/>
        </w:rPr>
        <w:br/>
      </w:r>
      <w:r w:rsidR="007512D7">
        <w:t xml:space="preserve">2.3. </w:t>
      </w:r>
      <w:r w:rsidRPr="0089352C">
        <w:t>tejto prílohy)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148EEE5" w14:textId="5B49A6D6" w:rsidR="00165074" w:rsidRPr="0089352C" w:rsidRDefault="00165074" w:rsidP="00165074">
      <w:pPr>
        <w:pStyle w:val="Nadpis2"/>
      </w:pPr>
      <w:r w:rsidRPr="0089352C">
        <w:lastRenderedPageBreak/>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69F2CC69"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xml:space="preserve">“) zodpovedá cene Zmluvného plnenia za kalendárny mesiac, za ktorý sa Preddavok </w:t>
      </w:r>
      <w:r w:rsidR="00F10279" w:rsidRPr="00F10279">
        <w:t>1</w:t>
      </w:r>
      <w:r w:rsidRPr="0089352C">
        <w:t xml:space="preserve"> platí. Preddavok 1 zohľadňuje 60% Predpokladaného odberu za Odberné miesta s mesačným odpočtom v danom mesiaci a všetky zložky ceny podľa článku 4 Zmluvy (</w:t>
      </w:r>
      <w:proofErr w:type="spellStart"/>
      <w:r w:rsidRPr="0089352C">
        <w:t>t.j</w:t>
      </w:r>
      <w:proofErr w:type="spellEnd"/>
      <w:r w:rsidRPr="0089352C">
        <w:t xml:space="preserve">. Cenu za dodávku plynu, Ceny </w:t>
      </w:r>
      <w:r w:rsidR="00A20BC3">
        <w:br/>
      </w:r>
      <w:r w:rsidRPr="0089352C">
        <w:t>za regulované služby, spotrebnú daň a DPH) platné ku dňu podpisu Zmluvy alebo v súlade s</w:t>
      </w:r>
      <w:r w:rsidR="00233A28">
        <w:t> </w:t>
      </w:r>
      <w:r w:rsidRPr="0089352C">
        <w:t>bodom</w:t>
      </w:r>
      <w:r w:rsidR="00233A28">
        <w:t xml:space="preserve"> 3.5.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2D549FBF"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zodpovedá predpokladanej cene Zmluvného plnenia za kalendárny mesiac. Preddavok 2 zohľadňuje množstvo plynu vo výške 1/12 Predpokladaného odberu za Odberné miesta s ročným odpočtom a všetky zložky ceny podľa článku 4 Zmluvy (</w:t>
      </w:r>
      <w:proofErr w:type="spellStart"/>
      <w:r w:rsidRPr="0089352C">
        <w:t>t.j</w:t>
      </w:r>
      <w:proofErr w:type="spellEnd"/>
      <w:r w:rsidRPr="0089352C">
        <w:t>. Cenu za dodávku plynu, Ceny za regulované služby, spotrebnú daň a DPH) platné ku dňu podpisu Zmluvy alebo v súlade s</w:t>
      </w:r>
      <w:r w:rsidR="000D3F57">
        <w:t> </w:t>
      </w:r>
      <w:r w:rsidRPr="0089352C">
        <w:t>bodom</w:t>
      </w:r>
      <w:r w:rsidR="000D3F57">
        <w:t xml:space="preserve"> 3.5.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6DB8437D" w:rsidR="00165074" w:rsidRPr="0089352C" w:rsidRDefault="00165074" w:rsidP="00165074">
      <w:pPr>
        <w:pStyle w:val="Zoznam5"/>
      </w:pPr>
      <w:r w:rsidRPr="0089352C">
        <w:t xml:space="preserve">Platby Preddavkov sa budú uskutočňovať na základe vystavených zálohových faktúr, pričom sa nejedná o faktúry podľa </w:t>
      </w:r>
      <w:r w:rsidRPr="00257CA6">
        <w:t>čl</w:t>
      </w:r>
      <w:r w:rsidR="00257CA6" w:rsidRPr="00257CA6">
        <w:t>ánku</w:t>
      </w:r>
      <w:r w:rsidRPr="0089352C">
        <w:t xml:space="preserve"> 4 Zmluvy</w:t>
      </w:r>
      <w:r w:rsidRPr="0089352C">
        <w:rPr>
          <w:sz w:val="20"/>
        </w:rPr>
        <w:t>.</w:t>
      </w:r>
    </w:p>
    <w:p w14:paraId="6FE82310" w14:textId="59D0C409" w:rsidR="00165074" w:rsidRPr="0089352C" w:rsidRDefault="00165074" w:rsidP="00165074">
      <w:pPr>
        <w:pStyle w:val="Zoznam5"/>
      </w:pPr>
      <w:r w:rsidRPr="0089352C">
        <w:t>Zálohové faktúry na Preddavky budú vystavené pre jednotliv</w:t>
      </w:r>
      <w:r w:rsidR="00E043BE">
        <w:t xml:space="preserve">é odberné miesta </w:t>
      </w:r>
      <w:r w:rsidRPr="0089352C">
        <w:t>v zmysle Prílohy č. 2.</w:t>
      </w:r>
    </w:p>
    <w:p w14:paraId="37960C4E" w14:textId="77777777" w:rsidR="00165074" w:rsidRPr="0089352C" w:rsidRDefault="00165074" w:rsidP="00165074">
      <w:pPr>
        <w:pStyle w:val="Zoznam5"/>
        <w:spacing w:after="0"/>
      </w:pPr>
      <w:r w:rsidRPr="0089352C">
        <w:t>Lehota splatnosti zálohovej faktúry na</w:t>
      </w:r>
    </w:p>
    <w:p w14:paraId="1262F0F8" w14:textId="77777777" w:rsidR="00165074" w:rsidRPr="0089352C" w:rsidRDefault="00165074" w:rsidP="00165074">
      <w:pPr>
        <w:pStyle w:val="Zoznamsodrkami2"/>
      </w:pPr>
      <w:r w:rsidRPr="0089352C">
        <w:t>Preddavky 1 je pätnásť (15) dní odo dňa jej doručenia Objednávateľovi,</w:t>
      </w:r>
    </w:p>
    <w:p w14:paraId="78C30B65" w14:textId="77777777" w:rsidR="00165074" w:rsidRPr="0089352C" w:rsidRDefault="00165074" w:rsidP="00165074">
      <w:pPr>
        <w:pStyle w:val="Zoznamsodrkami2"/>
      </w:pPr>
      <w:r w:rsidRPr="0089352C">
        <w:t xml:space="preserve">Preddavky 2 je tridsať (30) dní odo dňa jej doručenia Objednávateľovi, </w:t>
      </w:r>
    </w:p>
    <w:p w14:paraId="6D990F75" w14:textId="77777777" w:rsidR="00165074" w:rsidRPr="0089352C" w:rsidRDefault="00165074" w:rsidP="00165074">
      <w:pPr>
        <w:pStyle w:val="NormalIndent1"/>
        <w:ind w:left="709"/>
      </w:pPr>
      <w:r w:rsidRPr="0089352C">
        <w:t>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2F86EE3C" w14:textId="1BFE415E" w:rsidR="00165074" w:rsidRPr="005B4EB7" w:rsidRDefault="00165074" w:rsidP="006D56B2">
      <w:pPr>
        <w:rPr>
          <w:rFonts w:eastAsia="Calibri"/>
        </w:rPr>
      </w:pPr>
    </w:p>
    <w:sectPr w:rsidR="00165074"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5EC2" w14:textId="77777777" w:rsidR="006810EF" w:rsidRDefault="006810EF">
      <w:pPr>
        <w:spacing w:before="0" w:after="0"/>
      </w:pPr>
      <w:r>
        <w:separator/>
      </w:r>
    </w:p>
  </w:endnote>
  <w:endnote w:type="continuationSeparator" w:id="0">
    <w:p w14:paraId="2911C056" w14:textId="77777777" w:rsidR="006810EF" w:rsidRDefault="006810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8334461"/>
      <w:docPartObj>
        <w:docPartGallery w:val="Page Numbers (Bottom of Page)"/>
        <w:docPartUnique/>
      </w:docPartObj>
    </w:sdtPr>
    <w:sdtEndPr/>
    <w:sdtContent>
      <w:p w14:paraId="218220CA" w14:textId="4BDA9EE6" w:rsidR="000122FB" w:rsidRDefault="000122FB">
        <w:pPr>
          <w:pStyle w:val="Pta"/>
          <w:jc w:val="center"/>
        </w:pPr>
        <w:r>
          <w:fldChar w:fldCharType="begin"/>
        </w:r>
        <w:r>
          <w:instrText>PAGE   \* MERGEFORMAT</w:instrText>
        </w:r>
        <w:r>
          <w:fldChar w:fldCharType="separate"/>
        </w:r>
        <w:r w:rsidR="00E45CB3">
          <w:rPr>
            <w:noProof/>
          </w:rPr>
          <w:t>9</w:t>
        </w:r>
        <w:r>
          <w:fldChar w:fldCharType="end"/>
        </w:r>
      </w:p>
    </w:sdtContent>
  </w:sdt>
  <w:p w14:paraId="02E5C813" w14:textId="77777777" w:rsidR="000122FB" w:rsidRDefault="000122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118AF" w14:textId="77777777" w:rsidR="006810EF" w:rsidRDefault="006810EF">
      <w:pPr>
        <w:spacing w:before="0" w:after="0"/>
      </w:pPr>
      <w:r>
        <w:separator/>
      </w:r>
    </w:p>
  </w:footnote>
  <w:footnote w:type="continuationSeparator" w:id="0">
    <w:p w14:paraId="7BC14CD7" w14:textId="77777777" w:rsidR="006810EF" w:rsidRDefault="006810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6213" w14:textId="77777777" w:rsidR="000122FB" w:rsidRPr="000A734B" w:rsidRDefault="000122FB"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E8C6695"/>
    <w:multiLevelType w:val="multilevel"/>
    <w:tmpl w:val="368A970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9407C13"/>
    <w:multiLevelType w:val="multilevel"/>
    <w:tmpl w:val="53E84C60"/>
    <w:name w:val="head232"/>
    <w:numStyleLink w:val="Zmluva2a"/>
  </w:abstractNum>
  <w:abstractNum w:abstractNumId="46"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7"/>
  </w:num>
  <w:num w:numId="2">
    <w:abstractNumId w:val="48"/>
  </w:num>
  <w:num w:numId="3">
    <w:abstractNumId w:val="15"/>
  </w:num>
  <w:num w:numId="4">
    <w:abstractNumId w:val="12"/>
  </w:num>
  <w:num w:numId="5">
    <w:abstractNumId w:val="1"/>
  </w:num>
  <w:num w:numId="6">
    <w:abstractNumId w:val="9"/>
  </w:num>
  <w:num w:numId="7">
    <w:abstractNumId w:val="3"/>
  </w:num>
  <w:num w:numId="8">
    <w:abstractNumId w:val="29"/>
  </w:num>
  <w:num w:numId="9">
    <w:abstractNumId w:val="23"/>
  </w:num>
  <w:num w:numId="10">
    <w:abstractNumId w:val="18"/>
  </w:num>
  <w:num w:numId="11">
    <w:abstractNumId w:val="41"/>
  </w:num>
  <w:num w:numId="12">
    <w:abstractNumId w:val="19"/>
  </w:num>
  <w:num w:numId="13">
    <w:abstractNumId w:val="6"/>
  </w:num>
  <w:num w:numId="14">
    <w:abstractNumId w:val="25"/>
  </w:num>
  <w:num w:numId="15">
    <w:abstractNumId w:val="26"/>
  </w:num>
  <w:num w:numId="16">
    <w:abstractNumId w:val="8"/>
  </w:num>
  <w:num w:numId="17">
    <w:abstractNumId w:val="20"/>
  </w:num>
  <w:num w:numId="18">
    <w:abstractNumId w:val="16"/>
  </w:num>
  <w:num w:numId="19">
    <w:abstractNumId w:val="44"/>
  </w:num>
  <w:num w:numId="20">
    <w:abstractNumId w:val="38"/>
  </w:num>
  <w:num w:numId="21">
    <w:abstractNumId w:val="35"/>
  </w:num>
  <w:num w:numId="22">
    <w:abstractNumId w:val="5"/>
  </w:num>
  <w:num w:numId="23">
    <w:abstractNumId w:val="47"/>
  </w:num>
  <w:num w:numId="24">
    <w:abstractNumId w:val="49"/>
  </w:num>
  <w:num w:numId="25">
    <w:abstractNumId w:val="39"/>
  </w:num>
  <w:num w:numId="26">
    <w:abstractNumId w:val="33"/>
  </w:num>
  <w:num w:numId="27">
    <w:abstractNumId w:val="30"/>
  </w:num>
  <w:num w:numId="28">
    <w:abstractNumId w:val="43"/>
  </w:num>
  <w:num w:numId="29">
    <w:abstractNumId w:val="11"/>
  </w:num>
  <w:num w:numId="30">
    <w:abstractNumId w:val="50"/>
  </w:num>
  <w:num w:numId="31">
    <w:abstractNumId w:val="40"/>
  </w:num>
  <w:num w:numId="32">
    <w:abstractNumId w:val="42"/>
  </w:num>
  <w:num w:numId="33">
    <w:abstractNumId w:val="54"/>
  </w:num>
  <w:num w:numId="34">
    <w:abstractNumId w:val="27"/>
  </w:num>
  <w:num w:numId="35">
    <w:abstractNumId w:val="34"/>
  </w:num>
  <w:num w:numId="36">
    <w:abstractNumId w:val="2"/>
  </w:num>
  <w:num w:numId="37">
    <w:abstractNumId w:val="46"/>
  </w:num>
  <w:num w:numId="38">
    <w:abstractNumId w:val="36"/>
  </w:num>
  <w:num w:numId="39">
    <w:abstractNumId w:val="53"/>
  </w:num>
  <w:num w:numId="40">
    <w:abstractNumId w:val="17"/>
  </w:num>
  <w:num w:numId="41">
    <w:abstractNumId w:val="4"/>
  </w:num>
  <w:num w:numId="42">
    <w:abstractNumId w:val="0"/>
  </w:num>
  <w:num w:numId="43">
    <w:abstractNumId w:val="24"/>
  </w:num>
  <w:num w:numId="44">
    <w:abstractNumId w:val="31"/>
  </w:num>
  <w:num w:numId="45">
    <w:abstractNumId w:val="5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B"/>
    <w:rsid w:val="00003BCC"/>
    <w:rsid w:val="00003CAF"/>
    <w:rsid w:val="0000465F"/>
    <w:rsid w:val="00005B02"/>
    <w:rsid w:val="00010534"/>
    <w:rsid w:val="000122FB"/>
    <w:rsid w:val="00012F4F"/>
    <w:rsid w:val="00013AB9"/>
    <w:rsid w:val="000149C7"/>
    <w:rsid w:val="00015DE0"/>
    <w:rsid w:val="00016250"/>
    <w:rsid w:val="00017CD0"/>
    <w:rsid w:val="00020624"/>
    <w:rsid w:val="000212B7"/>
    <w:rsid w:val="00025A12"/>
    <w:rsid w:val="00027635"/>
    <w:rsid w:val="000313B2"/>
    <w:rsid w:val="00032861"/>
    <w:rsid w:val="00037823"/>
    <w:rsid w:val="000502F5"/>
    <w:rsid w:val="000513EC"/>
    <w:rsid w:val="00054027"/>
    <w:rsid w:val="00062F00"/>
    <w:rsid w:val="0006348D"/>
    <w:rsid w:val="00073EF2"/>
    <w:rsid w:val="00076F1F"/>
    <w:rsid w:val="00081BCA"/>
    <w:rsid w:val="00085312"/>
    <w:rsid w:val="00085724"/>
    <w:rsid w:val="00097831"/>
    <w:rsid w:val="00097863"/>
    <w:rsid w:val="000A1961"/>
    <w:rsid w:val="000B1414"/>
    <w:rsid w:val="000B2FAC"/>
    <w:rsid w:val="000B459E"/>
    <w:rsid w:val="000B475D"/>
    <w:rsid w:val="000C5039"/>
    <w:rsid w:val="000D38C9"/>
    <w:rsid w:val="000D3F57"/>
    <w:rsid w:val="000E0B9A"/>
    <w:rsid w:val="000E611E"/>
    <w:rsid w:val="000F09B4"/>
    <w:rsid w:val="000F6160"/>
    <w:rsid w:val="000F77A9"/>
    <w:rsid w:val="00101528"/>
    <w:rsid w:val="00102152"/>
    <w:rsid w:val="00105FEC"/>
    <w:rsid w:val="0011429F"/>
    <w:rsid w:val="00114C38"/>
    <w:rsid w:val="00115616"/>
    <w:rsid w:val="00116CD6"/>
    <w:rsid w:val="00123941"/>
    <w:rsid w:val="00126250"/>
    <w:rsid w:val="00130D66"/>
    <w:rsid w:val="00133F13"/>
    <w:rsid w:val="00136E8E"/>
    <w:rsid w:val="00140046"/>
    <w:rsid w:val="00143B81"/>
    <w:rsid w:val="00145F76"/>
    <w:rsid w:val="001555E0"/>
    <w:rsid w:val="00160D81"/>
    <w:rsid w:val="001614E3"/>
    <w:rsid w:val="00165074"/>
    <w:rsid w:val="001679E0"/>
    <w:rsid w:val="0017449D"/>
    <w:rsid w:val="00184CFE"/>
    <w:rsid w:val="001934AC"/>
    <w:rsid w:val="00193A0E"/>
    <w:rsid w:val="001B78D0"/>
    <w:rsid w:val="001C5221"/>
    <w:rsid w:val="001D7811"/>
    <w:rsid w:val="001E05F5"/>
    <w:rsid w:val="001F15E3"/>
    <w:rsid w:val="00200A3A"/>
    <w:rsid w:val="002028B9"/>
    <w:rsid w:val="002048DA"/>
    <w:rsid w:val="00204F94"/>
    <w:rsid w:val="00205BFA"/>
    <w:rsid w:val="00210772"/>
    <w:rsid w:val="00222150"/>
    <w:rsid w:val="00225E3A"/>
    <w:rsid w:val="002267BC"/>
    <w:rsid w:val="0023184C"/>
    <w:rsid w:val="00233A28"/>
    <w:rsid w:val="0024565E"/>
    <w:rsid w:val="00246AAC"/>
    <w:rsid w:val="00247A6A"/>
    <w:rsid w:val="0025760C"/>
    <w:rsid w:val="00257CA6"/>
    <w:rsid w:val="0027090B"/>
    <w:rsid w:val="00277F36"/>
    <w:rsid w:val="002817F4"/>
    <w:rsid w:val="00292DF5"/>
    <w:rsid w:val="002B1CB3"/>
    <w:rsid w:val="002B35D7"/>
    <w:rsid w:val="002B550D"/>
    <w:rsid w:val="002C0DC0"/>
    <w:rsid w:val="002C151A"/>
    <w:rsid w:val="002D4E67"/>
    <w:rsid w:val="002D5C30"/>
    <w:rsid w:val="002D5FEC"/>
    <w:rsid w:val="002D699D"/>
    <w:rsid w:val="00300356"/>
    <w:rsid w:val="003028F5"/>
    <w:rsid w:val="00303885"/>
    <w:rsid w:val="00305C56"/>
    <w:rsid w:val="0030610A"/>
    <w:rsid w:val="00307468"/>
    <w:rsid w:val="003076C9"/>
    <w:rsid w:val="0031074E"/>
    <w:rsid w:val="003120DA"/>
    <w:rsid w:val="00317B71"/>
    <w:rsid w:val="00321936"/>
    <w:rsid w:val="0032494A"/>
    <w:rsid w:val="00335A8F"/>
    <w:rsid w:val="00340D62"/>
    <w:rsid w:val="003506E1"/>
    <w:rsid w:val="003520A5"/>
    <w:rsid w:val="00352F38"/>
    <w:rsid w:val="00356DAC"/>
    <w:rsid w:val="00363087"/>
    <w:rsid w:val="0036547B"/>
    <w:rsid w:val="00372795"/>
    <w:rsid w:val="003809BE"/>
    <w:rsid w:val="003839C6"/>
    <w:rsid w:val="00396FE3"/>
    <w:rsid w:val="003A7F1F"/>
    <w:rsid w:val="003C5647"/>
    <w:rsid w:val="003E2679"/>
    <w:rsid w:val="003F7008"/>
    <w:rsid w:val="00400460"/>
    <w:rsid w:val="00404680"/>
    <w:rsid w:val="004058A6"/>
    <w:rsid w:val="004140B5"/>
    <w:rsid w:val="004255ED"/>
    <w:rsid w:val="00426BDC"/>
    <w:rsid w:val="00427F47"/>
    <w:rsid w:val="00430F29"/>
    <w:rsid w:val="0044045E"/>
    <w:rsid w:val="00442911"/>
    <w:rsid w:val="00444038"/>
    <w:rsid w:val="00447834"/>
    <w:rsid w:val="00452DE6"/>
    <w:rsid w:val="0045519E"/>
    <w:rsid w:val="00455AF0"/>
    <w:rsid w:val="00457A78"/>
    <w:rsid w:val="0046404E"/>
    <w:rsid w:val="004714D6"/>
    <w:rsid w:val="00482EC3"/>
    <w:rsid w:val="00483D9D"/>
    <w:rsid w:val="0048619C"/>
    <w:rsid w:val="00487C48"/>
    <w:rsid w:val="004A6D23"/>
    <w:rsid w:val="004A773A"/>
    <w:rsid w:val="004B07EC"/>
    <w:rsid w:val="004B75DA"/>
    <w:rsid w:val="004C0A5F"/>
    <w:rsid w:val="004C1706"/>
    <w:rsid w:val="004C204F"/>
    <w:rsid w:val="004D7C13"/>
    <w:rsid w:val="004E4C69"/>
    <w:rsid w:val="004E6F61"/>
    <w:rsid w:val="004F0991"/>
    <w:rsid w:val="00503623"/>
    <w:rsid w:val="005046A0"/>
    <w:rsid w:val="00507609"/>
    <w:rsid w:val="00510AB6"/>
    <w:rsid w:val="00517FE9"/>
    <w:rsid w:val="005213D0"/>
    <w:rsid w:val="00525C20"/>
    <w:rsid w:val="005370C6"/>
    <w:rsid w:val="0054001E"/>
    <w:rsid w:val="00541433"/>
    <w:rsid w:val="00542C2F"/>
    <w:rsid w:val="0054635B"/>
    <w:rsid w:val="00547277"/>
    <w:rsid w:val="005556FE"/>
    <w:rsid w:val="00555E54"/>
    <w:rsid w:val="005564B7"/>
    <w:rsid w:val="00562D2B"/>
    <w:rsid w:val="005741A5"/>
    <w:rsid w:val="005815D2"/>
    <w:rsid w:val="00597033"/>
    <w:rsid w:val="005974F6"/>
    <w:rsid w:val="005975B8"/>
    <w:rsid w:val="005A01AE"/>
    <w:rsid w:val="005A3D72"/>
    <w:rsid w:val="005A43E1"/>
    <w:rsid w:val="005A4F5C"/>
    <w:rsid w:val="005B10F8"/>
    <w:rsid w:val="005B1810"/>
    <w:rsid w:val="005B4EB7"/>
    <w:rsid w:val="005C0FAC"/>
    <w:rsid w:val="005C5C96"/>
    <w:rsid w:val="005F378B"/>
    <w:rsid w:val="005F48BF"/>
    <w:rsid w:val="005F6EC2"/>
    <w:rsid w:val="00600958"/>
    <w:rsid w:val="00603272"/>
    <w:rsid w:val="0060531A"/>
    <w:rsid w:val="00634B1A"/>
    <w:rsid w:val="006425D4"/>
    <w:rsid w:val="0064272A"/>
    <w:rsid w:val="00647439"/>
    <w:rsid w:val="00650B3E"/>
    <w:rsid w:val="00651ED6"/>
    <w:rsid w:val="006656DA"/>
    <w:rsid w:val="00677543"/>
    <w:rsid w:val="006810EF"/>
    <w:rsid w:val="00685845"/>
    <w:rsid w:val="006871E3"/>
    <w:rsid w:val="00694BE7"/>
    <w:rsid w:val="00697951"/>
    <w:rsid w:val="006A5316"/>
    <w:rsid w:val="006B2E88"/>
    <w:rsid w:val="006B3F6B"/>
    <w:rsid w:val="006B51E0"/>
    <w:rsid w:val="006B5842"/>
    <w:rsid w:val="006D1053"/>
    <w:rsid w:val="006D4D6F"/>
    <w:rsid w:val="006D56B2"/>
    <w:rsid w:val="006E184A"/>
    <w:rsid w:val="006E2F7A"/>
    <w:rsid w:val="006E5BAF"/>
    <w:rsid w:val="006E7603"/>
    <w:rsid w:val="006F3C93"/>
    <w:rsid w:val="006F5AFE"/>
    <w:rsid w:val="006F7A86"/>
    <w:rsid w:val="007013BD"/>
    <w:rsid w:val="007029FA"/>
    <w:rsid w:val="00704CEB"/>
    <w:rsid w:val="00705640"/>
    <w:rsid w:val="00706030"/>
    <w:rsid w:val="0070796F"/>
    <w:rsid w:val="0071085A"/>
    <w:rsid w:val="00712E41"/>
    <w:rsid w:val="007164E6"/>
    <w:rsid w:val="007303DF"/>
    <w:rsid w:val="00731D89"/>
    <w:rsid w:val="007345F4"/>
    <w:rsid w:val="00736BD0"/>
    <w:rsid w:val="00740B84"/>
    <w:rsid w:val="00740F6E"/>
    <w:rsid w:val="007412AB"/>
    <w:rsid w:val="00743904"/>
    <w:rsid w:val="007449A4"/>
    <w:rsid w:val="00745C38"/>
    <w:rsid w:val="007512D7"/>
    <w:rsid w:val="00756E5E"/>
    <w:rsid w:val="00756E6E"/>
    <w:rsid w:val="00760048"/>
    <w:rsid w:val="00766030"/>
    <w:rsid w:val="00770922"/>
    <w:rsid w:val="00774707"/>
    <w:rsid w:val="00775EA4"/>
    <w:rsid w:val="0077705E"/>
    <w:rsid w:val="00786226"/>
    <w:rsid w:val="00791B82"/>
    <w:rsid w:val="00792A45"/>
    <w:rsid w:val="007A34B0"/>
    <w:rsid w:val="007A5B61"/>
    <w:rsid w:val="007B59B1"/>
    <w:rsid w:val="007C0CAC"/>
    <w:rsid w:val="007C3790"/>
    <w:rsid w:val="007C3E8D"/>
    <w:rsid w:val="007D2F08"/>
    <w:rsid w:val="007E3316"/>
    <w:rsid w:val="007E3D30"/>
    <w:rsid w:val="007F0D0D"/>
    <w:rsid w:val="007F3950"/>
    <w:rsid w:val="007F45DD"/>
    <w:rsid w:val="007F4B8C"/>
    <w:rsid w:val="007F5E9B"/>
    <w:rsid w:val="0081572E"/>
    <w:rsid w:val="0082539B"/>
    <w:rsid w:val="008359A1"/>
    <w:rsid w:val="00843126"/>
    <w:rsid w:val="00844C16"/>
    <w:rsid w:val="008453D3"/>
    <w:rsid w:val="00855765"/>
    <w:rsid w:val="008677C4"/>
    <w:rsid w:val="00872A3A"/>
    <w:rsid w:val="00881EA9"/>
    <w:rsid w:val="0089352C"/>
    <w:rsid w:val="008A0DE6"/>
    <w:rsid w:val="008B0357"/>
    <w:rsid w:val="008B3467"/>
    <w:rsid w:val="008B5A34"/>
    <w:rsid w:val="008C222B"/>
    <w:rsid w:val="008C41F3"/>
    <w:rsid w:val="008D6379"/>
    <w:rsid w:val="008E4C71"/>
    <w:rsid w:val="008F4217"/>
    <w:rsid w:val="008F6A03"/>
    <w:rsid w:val="00902695"/>
    <w:rsid w:val="00907BDF"/>
    <w:rsid w:val="0091042B"/>
    <w:rsid w:val="00924B01"/>
    <w:rsid w:val="0093119F"/>
    <w:rsid w:val="0093434F"/>
    <w:rsid w:val="00934B1F"/>
    <w:rsid w:val="0093743F"/>
    <w:rsid w:val="009454F7"/>
    <w:rsid w:val="00945C73"/>
    <w:rsid w:val="00945EF0"/>
    <w:rsid w:val="00950EAE"/>
    <w:rsid w:val="00955A24"/>
    <w:rsid w:val="00956C40"/>
    <w:rsid w:val="0096171D"/>
    <w:rsid w:val="00967096"/>
    <w:rsid w:val="00976AED"/>
    <w:rsid w:val="00977051"/>
    <w:rsid w:val="009771A5"/>
    <w:rsid w:val="009915FA"/>
    <w:rsid w:val="0099409F"/>
    <w:rsid w:val="009A14B5"/>
    <w:rsid w:val="009A21CD"/>
    <w:rsid w:val="009A3A74"/>
    <w:rsid w:val="009A3AD3"/>
    <w:rsid w:val="009A433A"/>
    <w:rsid w:val="009B1EB4"/>
    <w:rsid w:val="009B2BEF"/>
    <w:rsid w:val="009C3B4E"/>
    <w:rsid w:val="009C6A30"/>
    <w:rsid w:val="009E282F"/>
    <w:rsid w:val="009E5627"/>
    <w:rsid w:val="009F7FDC"/>
    <w:rsid w:val="00A0308E"/>
    <w:rsid w:val="00A11753"/>
    <w:rsid w:val="00A13A46"/>
    <w:rsid w:val="00A20BC3"/>
    <w:rsid w:val="00A228B0"/>
    <w:rsid w:val="00A26507"/>
    <w:rsid w:val="00A43F71"/>
    <w:rsid w:val="00A467B7"/>
    <w:rsid w:val="00A46A84"/>
    <w:rsid w:val="00A5231E"/>
    <w:rsid w:val="00A6374E"/>
    <w:rsid w:val="00A6589E"/>
    <w:rsid w:val="00A65AFA"/>
    <w:rsid w:val="00A87BC8"/>
    <w:rsid w:val="00A93734"/>
    <w:rsid w:val="00AA02FF"/>
    <w:rsid w:val="00AA5912"/>
    <w:rsid w:val="00AA74D2"/>
    <w:rsid w:val="00AB1D18"/>
    <w:rsid w:val="00AB46A9"/>
    <w:rsid w:val="00AB4704"/>
    <w:rsid w:val="00AB4889"/>
    <w:rsid w:val="00AB4E26"/>
    <w:rsid w:val="00AB5632"/>
    <w:rsid w:val="00AB6112"/>
    <w:rsid w:val="00AC2438"/>
    <w:rsid w:val="00AD246C"/>
    <w:rsid w:val="00AD5962"/>
    <w:rsid w:val="00AE222D"/>
    <w:rsid w:val="00AE4833"/>
    <w:rsid w:val="00AE55FE"/>
    <w:rsid w:val="00AE5D0E"/>
    <w:rsid w:val="00AF211E"/>
    <w:rsid w:val="00AF21DF"/>
    <w:rsid w:val="00AF72C1"/>
    <w:rsid w:val="00B01BDE"/>
    <w:rsid w:val="00B10D28"/>
    <w:rsid w:val="00B1269E"/>
    <w:rsid w:val="00B22A99"/>
    <w:rsid w:val="00B40F1D"/>
    <w:rsid w:val="00B42487"/>
    <w:rsid w:val="00B44372"/>
    <w:rsid w:val="00B45674"/>
    <w:rsid w:val="00B465B6"/>
    <w:rsid w:val="00B514D5"/>
    <w:rsid w:val="00B53B17"/>
    <w:rsid w:val="00B56501"/>
    <w:rsid w:val="00B626E7"/>
    <w:rsid w:val="00B81E26"/>
    <w:rsid w:val="00B82689"/>
    <w:rsid w:val="00B8671D"/>
    <w:rsid w:val="00B93EA4"/>
    <w:rsid w:val="00B93F3C"/>
    <w:rsid w:val="00B95682"/>
    <w:rsid w:val="00BA4A35"/>
    <w:rsid w:val="00BA7B0D"/>
    <w:rsid w:val="00BB2CF5"/>
    <w:rsid w:val="00BB3B02"/>
    <w:rsid w:val="00BB3F21"/>
    <w:rsid w:val="00BB4829"/>
    <w:rsid w:val="00BB6689"/>
    <w:rsid w:val="00BC2A3D"/>
    <w:rsid w:val="00BC6743"/>
    <w:rsid w:val="00BD0875"/>
    <w:rsid w:val="00BE548C"/>
    <w:rsid w:val="00BE6187"/>
    <w:rsid w:val="00BF1F74"/>
    <w:rsid w:val="00BF2F0A"/>
    <w:rsid w:val="00C10948"/>
    <w:rsid w:val="00C17126"/>
    <w:rsid w:val="00C17ECC"/>
    <w:rsid w:val="00C20DCD"/>
    <w:rsid w:val="00C22D52"/>
    <w:rsid w:val="00C25684"/>
    <w:rsid w:val="00C25971"/>
    <w:rsid w:val="00C25AD2"/>
    <w:rsid w:val="00C309C1"/>
    <w:rsid w:val="00C325CE"/>
    <w:rsid w:val="00C3293C"/>
    <w:rsid w:val="00C36030"/>
    <w:rsid w:val="00C36FFF"/>
    <w:rsid w:val="00C43D84"/>
    <w:rsid w:val="00C46B63"/>
    <w:rsid w:val="00C52092"/>
    <w:rsid w:val="00C55D41"/>
    <w:rsid w:val="00C56DD8"/>
    <w:rsid w:val="00C6314A"/>
    <w:rsid w:val="00C80836"/>
    <w:rsid w:val="00C84932"/>
    <w:rsid w:val="00C9025A"/>
    <w:rsid w:val="00C92635"/>
    <w:rsid w:val="00C932E9"/>
    <w:rsid w:val="00C97E9F"/>
    <w:rsid w:val="00CA328F"/>
    <w:rsid w:val="00CB38EE"/>
    <w:rsid w:val="00CC1AF8"/>
    <w:rsid w:val="00CC4390"/>
    <w:rsid w:val="00CD157B"/>
    <w:rsid w:val="00CD4128"/>
    <w:rsid w:val="00CD4492"/>
    <w:rsid w:val="00CE4FA7"/>
    <w:rsid w:val="00CE51FE"/>
    <w:rsid w:val="00CE71A9"/>
    <w:rsid w:val="00CF70C4"/>
    <w:rsid w:val="00CF765A"/>
    <w:rsid w:val="00D02771"/>
    <w:rsid w:val="00D07B49"/>
    <w:rsid w:val="00D105D0"/>
    <w:rsid w:val="00D13D32"/>
    <w:rsid w:val="00D15634"/>
    <w:rsid w:val="00D21CAF"/>
    <w:rsid w:val="00D226D5"/>
    <w:rsid w:val="00D23962"/>
    <w:rsid w:val="00D30FB9"/>
    <w:rsid w:val="00D37318"/>
    <w:rsid w:val="00D4269A"/>
    <w:rsid w:val="00D435A2"/>
    <w:rsid w:val="00D44113"/>
    <w:rsid w:val="00D47E2D"/>
    <w:rsid w:val="00D54BDA"/>
    <w:rsid w:val="00D60D07"/>
    <w:rsid w:val="00D77161"/>
    <w:rsid w:val="00D8248A"/>
    <w:rsid w:val="00D828CD"/>
    <w:rsid w:val="00D86AA3"/>
    <w:rsid w:val="00D91760"/>
    <w:rsid w:val="00D925EA"/>
    <w:rsid w:val="00D94A26"/>
    <w:rsid w:val="00D9538F"/>
    <w:rsid w:val="00DA441C"/>
    <w:rsid w:val="00DA6FD0"/>
    <w:rsid w:val="00DB09F3"/>
    <w:rsid w:val="00DB47D5"/>
    <w:rsid w:val="00DC2F35"/>
    <w:rsid w:val="00DC48AD"/>
    <w:rsid w:val="00DD0C01"/>
    <w:rsid w:val="00DD0E0B"/>
    <w:rsid w:val="00DD1892"/>
    <w:rsid w:val="00DD30A6"/>
    <w:rsid w:val="00DD632A"/>
    <w:rsid w:val="00DE36BD"/>
    <w:rsid w:val="00DE3F79"/>
    <w:rsid w:val="00DE534B"/>
    <w:rsid w:val="00DE6879"/>
    <w:rsid w:val="00DE75BA"/>
    <w:rsid w:val="00DF6B10"/>
    <w:rsid w:val="00E01DFE"/>
    <w:rsid w:val="00E043BE"/>
    <w:rsid w:val="00E0450A"/>
    <w:rsid w:val="00E06898"/>
    <w:rsid w:val="00E1454B"/>
    <w:rsid w:val="00E174B4"/>
    <w:rsid w:val="00E301AE"/>
    <w:rsid w:val="00E333EE"/>
    <w:rsid w:val="00E341E4"/>
    <w:rsid w:val="00E352DD"/>
    <w:rsid w:val="00E409B2"/>
    <w:rsid w:val="00E45CB3"/>
    <w:rsid w:val="00E51A54"/>
    <w:rsid w:val="00E552D3"/>
    <w:rsid w:val="00E57DE2"/>
    <w:rsid w:val="00E60495"/>
    <w:rsid w:val="00E816D4"/>
    <w:rsid w:val="00E847FB"/>
    <w:rsid w:val="00E94866"/>
    <w:rsid w:val="00E94F10"/>
    <w:rsid w:val="00E97B88"/>
    <w:rsid w:val="00EA5F2E"/>
    <w:rsid w:val="00EB3B49"/>
    <w:rsid w:val="00EB577D"/>
    <w:rsid w:val="00EB7752"/>
    <w:rsid w:val="00EB7B07"/>
    <w:rsid w:val="00EC1B5B"/>
    <w:rsid w:val="00EC4DAB"/>
    <w:rsid w:val="00EC79CD"/>
    <w:rsid w:val="00ED318F"/>
    <w:rsid w:val="00EE2BEE"/>
    <w:rsid w:val="00EE44E2"/>
    <w:rsid w:val="00EE45D3"/>
    <w:rsid w:val="00EE5064"/>
    <w:rsid w:val="00EE5FD4"/>
    <w:rsid w:val="00EF3AAF"/>
    <w:rsid w:val="00EF7479"/>
    <w:rsid w:val="00F018AF"/>
    <w:rsid w:val="00F027A6"/>
    <w:rsid w:val="00F10279"/>
    <w:rsid w:val="00F10AF6"/>
    <w:rsid w:val="00F1180E"/>
    <w:rsid w:val="00F210A1"/>
    <w:rsid w:val="00F2608A"/>
    <w:rsid w:val="00F35F54"/>
    <w:rsid w:val="00F37B94"/>
    <w:rsid w:val="00F40BE5"/>
    <w:rsid w:val="00F427BC"/>
    <w:rsid w:val="00F428E1"/>
    <w:rsid w:val="00F470C0"/>
    <w:rsid w:val="00F5166C"/>
    <w:rsid w:val="00F54143"/>
    <w:rsid w:val="00F56D51"/>
    <w:rsid w:val="00F60BE8"/>
    <w:rsid w:val="00F656EB"/>
    <w:rsid w:val="00F718ED"/>
    <w:rsid w:val="00F726BD"/>
    <w:rsid w:val="00F75C98"/>
    <w:rsid w:val="00F815DD"/>
    <w:rsid w:val="00F84F35"/>
    <w:rsid w:val="00F9278B"/>
    <w:rsid w:val="00FA092C"/>
    <w:rsid w:val="00FA7EC0"/>
    <w:rsid w:val="00FB0241"/>
    <w:rsid w:val="00FB1F08"/>
    <w:rsid w:val="00FB3092"/>
    <w:rsid w:val="00FB472F"/>
    <w:rsid w:val="00FC106F"/>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Vraz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uv@hzs.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x.com/en/market-data/natural-gas/spo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E250-B528-43C7-AA0F-A95FCF170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17</Pages>
  <Words>6020</Words>
  <Characters>34314</Characters>
  <Application>Microsoft Office Word</Application>
  <DocSecurity>0</DocSecurity>
  <Lines>285</Lines>
  <Paragraphs>80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Martina Rennerová</cp:lastModifiedBy>
  <cp:revision>31</cp:revision>
  <cp:lastPrinted>2023-05-10T12:17:00Z</cp:lastPrinted>
  <dcterms:created xsi:type="dcterms:W3CDTF">2023-11-03T06:03:00Z</dcterms:created>
  <dcterms:modified xsi:type="dcterms:W3CDTF">2023-11-03T09:01:00Z</dcterms:modified>
</cp:coreProperties>
</file>