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9BCBF" w14:textId="77777777" w:rsidR="00AA4FC2" w:rsidRDefault="00AA4FC2" w:rsidP="00AA4FC2">
      <w:pPr>
        <w:spacing w:after="0" w:line="240" w:lineRule="auto"/>
        <w:jc w:val="center"/>
        <w:rPr>
          <w:rFonts w:ascii="Arial Narrow" w:hAnsi="Arial Narrow" w:cs="Arial"/>
          <w:b/>
        </w:rPr>
      </w:pPr>
    </w:p>
    <w:p w14:paraId="53CAB005"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F805264" w14:textId="77777777" w:rsidR="00B1624B" w:rsidRPr="00B1624B" w:rsidRDefault="00B1624B" w:rsidP="00B1624B">
      <w:pPr>
        <w:spacing w:after="120" w:line="240" w:lineRule="auto"/>
        <w:jc w:val="center"/>
        <w:rPr>
          <w:rFonts w:ascii="Arial Narrow" w:hAnsi="Arial Narrow"/>
        </w:rPr>
      </w:pPr>
      <w:r w:rsidRPr="00B1624B">
        <w:rPr>
          <w:rFonts w:ascii="Arial Narrow" w:hAnsi="Arial Narrow"/>
        </w:rPr>
        <w:t>Softvér pre testovacie prostredie v projekte „PKI CSCA VISA SEALS“</w:t>
      </w:r>
    </w:p>
    <w:p w14:paraId="21CF9858" w14:textId="78E5CE9F"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bookmarkStart w:id="0" w:name="_GoBack"/>
      <w:bookmarkEnd w:id="0"/>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CC3473">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B1624B" w:rsidRDefault="00A75414" w:rsidP="006A1937">
      <w:pPr>
        <w:autoSpaceDE w:val="0"/>
        <w:autoSpaceDN w:val="0"/>
        <w:adjustRightInd w:val="0"/>
        <w:spacing w:after="0" w:line="276" w:lineRule="auto"/>
        <w:jc w:val="both"/>
        <w:rPr>
          <w:rFonts w:ascii="Arial Narrow" w:hAnsi="Arial Narrow" w:cs="Tahoma"/>
          <w:u w:val="single"/>
          <w:lang w:eastAsia="sk-SK"/>
        </w:rPr>
      </w:pPr>
      <w:r w:rsidRPr="00B1624B">
        <w:rPr>
          <w:rFonts w:ascii="Arial Narrow" w:hAnsi="Arial Narrow" w:cs="Tahoma"/>
          <w:u w:val="single"/>
        </w:rPr>
        <w:t>Doklady, ktoré sa nepredkladajú:</w:t>
      </w:r>
    </w:p>
    <w:p w14:paraId="6CE47BAF" w14:textId="77777777" w:rsidR="00A75414" w:rsidRPr="00755471" w:rsidRDefault="00A75414" w:rsidP="006A1937">
      <w:pPr>
        <w:autoSpaceDE w:val="0"/>
        <w:autoSpaceDN w:val="0"/>
        <w:adjustRightInd w:val="0"/>
        <w:spacing w:after="0" w:line="276"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6A1937">
      <w:pPr>
        <w:pStyle w:val="Odsekzoznamu"/>
        <w:widowControl w:val="0"/>
        <w:tabs>
          <w:tab w:val="left" w:pos="0"/>
        </w:tabs>
        <w:spacing w:after="0" w:line="276"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2808E43A" w:rsidR="007C6CD3" w:rsidRDefault="00A75414" w:rsidP="006A1937">
      <w:pPr>
        <w:pStyle w:val="Odsekzoznamu"/>
        <w:widowControl w:val="0"/>
        <w:tabs>
          <w:tab w:val="left" w:pos="0"/>
        </w:tabs>
        <w:spacing w:after="0" w:line="276"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E77D0E">
        <w:rPr>
          <w:rFonts w:ascii="Arial Narrow" w:hAnsi="Arial Narrow" w:cs="Tahoma"/>
        </w:rPr>
        <w:t>, likvidácia</w:t>
      </w:r>
      <w:r w:rsidR="007C6CD3" w:rsidRPr="000D7D1C">
        <w:rPr>
          <w:rFonts w:ascii="Arial Narrow" w:hAnsi="Arial Narrow" w:cs="Tahoma"/>
        </w:rPr>
        <w:t>) podľa § 32 ods. 1 písm. d) a ods. 2 písm. d) zákona,</w:t>
      </w:r>
    </w:p>
    <w:p w14:paraId="29A317D8" w14:textId="77777777" w:rsidR="00203091" w:rsidRPr="007C6CD3" w:rsidRDefault="007C6CD3" w:rsidP="006A1937">
      <w:pPr>
        <w:pStyle w:val="Odsekzoznamu"/>
        <w:widowControl w:val="0"/>
        <w:tabs>
          <w:tab w:val="left" w:pos="0"/>
        </w:tabs>
        <w:spacing w:after="120" w:line="276" w:lineRule="auto"/>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6A1937">
      <w:pPr>
        <w:autoSpaceDE w:val="0"/>
        <w:autoSpaceDN w:val="0"/>
        <w:adjustRightInd w:val="0"/>
        <w:spacing w:after="120" w:line="276" w:lineRule="auto"/>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6A1937">
      <w:pPr>
        <w:pStyle w:val="Zkladntext"/>
        <w:numPr>
          <w:ilvl w:val="0"/>
          <w:numId w:val="17"/>
        </w:numPr>
        <w:spacing w:line="276"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6A1937">
      <w:pPr>
        <w:spacing w:after="120" w:line="276" w:lineRule="auto"/>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6A1937">
      <w:pPr>
        <w:autoSpaceDE w:val="0"/>
        <w:autoSpaceDN w:val="0"/>
        <w:adjustRightInd w:val="0"/>
        <w:spacing w:after="120" w:line="276"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0B8E440" w14:textId="77777777" w:rsidR="00A75414" w:rsidRPr="00755471" w:rsidRDefault="00A75414" w:rsidP="006A1937">
      <w:pPr>
        <w:spacing w:line="276" w:lineRule="auto"/>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00196A68" w14:textId="77777777" w:rsidR="00E9222B" w:rsidRDefault="00E9222B" w:rsidP="006A1937">
      <w:pPr>
        <w:widowControl w:val="0"/>
        <w:tabs>
          <w:tab w:val="left" w:pos="0"/>
        </w:tabs>
        <w:spacing w:after="120" w:line="276" w:lineRule="auto"/>
        <w:jc w:val="both"/>
        <w:rPr>
          <w:rFonts w:ascii="Arial Narrow" w:hAnsi="Arial Narrow"/>
          <w:b/>
          <w:shd w:val="clear" w:color="auto" w:fill="FFFFFF"/>
        </w:rPr>
      </w:pPr>
    </w:p>
    <w:p w14:paraId="6A13D4B2" w14:textId="77777777" w:rsidR="00E9222B" w:rsidRDefault="00E9222B" w:rsidP="006A1937">
      <w:pPr>
        <w:pStyle w:val="Odsekzoznamu"/>
        <w:numPr>
          <w:ilvl w:val="0"/>
          <w:numId w:val="16"/>
        </w:numPr>
        <w:spacing w:after="120" w:line="276"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15D3A45C" w14:textId="11EE49B9" w:rsidR="00E9222B" w:rsidRDefault="00EB58F8" w:rsidP="006A1937">
      <w:pPr>
        <w:spacing w:after="0" w:line="276" w:lineRule="auto"/>
        <w:jc w:val="both"/>
        <w:rPr>
          <w:rFonts w:ascii="Arial Narrow" w:hAnsi="Arial Narrow"/>
        </w:rPr>
      </w:pPr>
      <w:r>
        <w:rPr>
          <w:rFonts w:ascii="Arial Narrow" w:hAnsi="Arial Narrow"/>
        </w:rPr>
        <w:t>Neaplikuje</w:t>
      </w:r>
      <w:r w:rsidR="006D2A32">
        <w:rPr>
          <w:rFonts w:ascii="Arial Narrow" w:hAnsi="Arial Narrow"/>
        </w:rPr>
        <w:t xml:space="preserve"> sa.</w:t>
      </w:r>
    </w:p>
    <w:p w14:paraId="7355098D" w14:textId="77777777" w:rsidR="000D7D1C" w:rsidRDefault="00E9222B" w:rsidP="006A1937">
      <w:pPr>
        <w:pStyle w:val="Odsekzoznamu"/>
        <w:numPr>
          <w:ilvl w:val="0"/>
          <w:numId w:val="16"/>
        </w:numPr>
        <w:spacing w:before="300" w:after="240" w:line="276"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205C65E7" w14:textId="240A986F" w:rsidR="008B538F" w:rsidRPr="006D2A32" w:rsidRDefault="00EB58F8" w:rsidP="006A1937">
      <w:pPr>
        <w:spacing w:after="0" w:line="276" w:lineRule="auto"/>
        <w:jc w:val="both"/>
        <w:rPr>
          <w:rFonts w:ascii="Arial Narrow" w:hAnsi="Arial Narrow"/>
        </w:rPr>
      </w:pPr>
      <w:r>
        <w:rPr>
          <w:rFonts w:ascii="Arial Narrow" w:hAnsi="Arial Narrow"/>
        </w:rPr>
        <w:t>Neaplikuje</w:t>
      </w:r>
      <w:r w:rsidR="006D2A32" w:rsidRPr="006D2A32">
        <w:rPr>
          <w:rFonts w:ascii="Arial Narrow" w:hAnsi="Arial Narrow"/>
        </w:rPr>
        <w:t xml:space="preserve"> sa.</w:t>
      </w:r>
    </w:p>
    <w:p w14:paraId="46B3E52E" w14:textId="77777777" w:rsidR="000D7D1C" w:rsidRDefault="000D7D1C" w:rsidP="006A1937">
      <w:pPr>
        <w:spacing w:after="0" w:line="276" w:lineRule="auto"/>
        <w:jc w:val="both"/>
        <w:rPr>
          <w:rFonts w:ascii="Arial Narrow" w:hAnsi="Arial Narrow" w:cs="Arial"/>
        </w:rPr>
      </w:pPr>
    </w:p>
    <w:p w14:paraId="699195A1" w14:textId="77777777" w:rsidR="003E03B5" w:rsidRPr="003E03B5" w:rsidRDefault="000D7D1C" w:rsidP="006A1937">
      <w:pPr>
        <w:spacing w:after="0" w:line="276" w:lineRule="auto"/>
        <w:jc w:val="both"/>
        <w:rPr>
          <w:rFonts w:ascii="Arial Narrow" w:hAnsi="Arial Narrow"/>
          <w:lang w:eastAsia="sk-SK"/>
        </w:rPr>
      </w:pPr>
      <w:r w:rsidRPr="003E03B5">
        <w:rPr>
          <w:rFonts w:ascii="Arial Narrow" w:hAnsi="Arial Narrow"/>
          <w:lang w:eastAsia="sk-SK"/>
        </w:rPr>
        <w:t>V prípade uchádzača, ktorého tvorí skupina dodávateľov zúčastnená na verejnom obstarávaní, sa požaduje preukázanie splnenia podmienok účasti za všetkých členov skupiny spoločne.</w:t>
      </w:r>
    </w:p>
    <w:p w14:paraId="2F74732D" w14:textId="77777777" w:rsidR="003E03B5" w:rsidRPr="003E03B5" w:rsidRDefault="003E03B5" w:rsidP="006A1937">
      <w:pPr>
        <w:spacing w:after="0" w:line="276" w:lineRule="auto"/>
        <w:jc w:val="both"/>
        <w:rPr>
          <w:rFonts w:ascii="Arial Narrow" w:hAnsi="Arial Narrow"/>
          <w:lang w:eastAsia="sk-SK"/>
        </w:rPr>
      </w:pPr>
    </w:p>
    <w:p w14:paraId="270B3FC7" w14:textId="77777777" w:rsidR="008B538F" w:rsidRDefault="008B538F" w:rsidP="006A1937">
      <w:pPr>
        <w:spacing w:after="0" w:line="276"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2D95E859" w:rsidR="008B538F" w:rsidRPr="00F34B9D" w:rsidRDefault="008B538F" w:rsidP="006A1937">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sidR="00B1624B" w:rsidRPr="00B1624B">
          <w:rPr>
            <w:rStyle w:val="Hypertextovprepojenie"/>
            <w:rFonts w:ascii="Arial Narrow" w:hAnsi="Arial Narrow"/>
          </w:rPr>
          <w:t>https://www.uvo.gov.sk/zaujemca-uchadzac/jednotny-europsky-dokument-jed</w:t>
        </w:r>
      </w:hyperlink>
      <w:r w:rsidR="00B1624B">
        <w:t xml:space="preserve"> </w:t>
      </w:r>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6A1937">
      <w:pPr>
        <w:autoSpaceDE w:val="0"/>
        <w:autoSpaceDN w:val="0"/>
        <w:adjustRightInd w:val="0"/>
        <w:spacing w:before="120" w:after="0" w:line="276"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6A1937">
      <w:pPr>
        <w:numPr>
          <w:ilvl w:val="0"/>
          <w:numId w:val="18"/>
        </w:numPr>
        <w:tabs>
          <w:tab w:val="left" w:pos="708"/>
          <w:tab w:val="left" w:pos="2160"/>
          <w:tab w:val="left" w:pos="2880"/>
          <w:tab w:val="left" w:pos="4500"/>
        </w:tabs>
        <w:spacing w:after="0" w:line="276" w:lineRule="auto"/>
        <w:ind w:left="1276" w:hanging="425"/>
        <w:jc w:val="both"/>
        <w:rPr>
          <w:rFonts w:ascii="Arial Narrow" w:hAnsi="Arial Narrow"/>
          <w:lang w:eastAsia="sk-SK"/>
        </w:rPr>
      </w:pPr>
      <w:r w:rsidRPr="004D7B17">
        <w:rPr>
          <w:rFonts w:ascii="Arial Narrow" w:hAnsi="Arial Narrow"/>
          <w:lang w:eastAsia="sk-SK"/>
        </w:rPr>
        <w:t>časť VI.</w:t>
      </w:r>
    </w:p>
    <w:sectPr w:rsidR="008B538F" w:rsidRPr="004D7B17"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B1860" w14:textId="77777777" w:rsidR="00F62B93" w:rsidRDefault="00F62B93" w:rsidP="00CF3803">
      <w:pPr>
        <w:spacing w:after="0" w:line="240" w:lineRule="auto"/>
      </w:pPr>
      <w:r>
        <w:separator/>
      </w:r>
    </w:p>
  </w:endnote>
  <w:endnote w:type="continuationSeparator" w:id="0">
    <w:p w14:paraId="7818FE39" w14:textId="77777777" w:rsidR="00F62B93" w:rsidRDefault="00F62B9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D4F51" w14:textId="77777777" w:rsidR="00F62B93" w:rsidRDefault="00F62B93" w:rsidP="00CF3803">
      <w:pPr>
        <w:spacing w:after="0" w:line="240" w:lineRule="auto"/>
      </w:pPr>
      <w:r>
        <w:separator/>
      </w:r>
    </w:p>
  </w:footnote>
  <w:footnote w:type="continuationSeparator" w:id="0">
    <w:p w14:paraId="6A4F580C" w14:textId="77777777" w:rsidR="00F62B93" w:rsidRDefault="00F62B93" w:rsidP="00CF38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9B22E" w14:textId="77777777" w:rsidR="00B1624B" w:rsidRPr="007F4395" w:rsidRDefault="00B1624B" w:rsidP="00B1624B">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w:t>
    </w:r>
    <w:r>
      <w:rPr>
        <w:rFonts w:ascii="Arial Narrow" w:hAnsi="Arial Narrow" w:cs="Arial"/>
        <w:sz w:val="20"/>
        <w:szCs w:val="20"/>
      </w:rPr>
      <w:t>4</w:t>
    </w:r>
    <w:r w:rsidRPr="007F4395">
      <w:rPr>
        <w:rFonts w:ascii="Arial Narrow" w:hAnsi="Arial Narrow" w:cs="Arial"/>
        <w:sz w:val="20"/>
        <w:szCs w:val="20"/>
      </w:rPr>
      <w:t xml:space="preserve"> súťažných podkladov</w:t>
    </w:r>
  </w:p>
  <w:p w14:paraId="44D55106" w14:textId="77777777" w:rsidR="00B1624B" w:rsidRPr="007F4395" w:rsidRDefault="00B1624B" w:rsidP="00B1624B">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15E3D692" w14:textId="77777777" w:rsidR="00B1624B" w:rsidRDefault="00B162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7"/>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76238"/>
    <w:rsid w:val="002843B7"/>
    <w:rsid w:val="00284649"/>
    <w:rsid w:val="00285EE8"/>
    <w:rsid w:val="00295E70"/>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C6A2F"/>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1937"/>
    <w:rsid w:val="006A3A63"/>
    <w:rsid w:val="006A6933"/>
    <w:rsid w:val="006B5ED7"/>
    <w:rsid w:val="006C0C32"/>
    <w:rsid w:val="006C4BA1"/>
    <w:rsid w:val="006D2A32"/>
    <w:rsid w:val="006F0353"/>
    <w:rsid w:val="006F2010"/>
    <w:rsid w:val="0070402F"/>
    <w:rsid w:val="00706952"/>
    <w:rsid w:val="00715ABB"/>
    <w:rsid w:val="00724924"/>
    <w:rsid w:val="007332F9"/>
    <w:rsid w:val="00753E9A"/>
    <w:rsid w:val="00761153"/>
    <w:rsid w:val="0076502B"/>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60AA8"/>
    <w:rsid w:val="00886254"/>
    <w:rsid w:val="008A21D9"/>
    <w:rsid w:val="008B538F"/>
    <w:rsid w:val="008B78EB"/>
    <w:rsid w:val="008C3328"/>
    <w:rsid w:val="008D5D52"/>
    <w:rsid w:val="008D7643"/>
    <w:rsid w:val="008D7A41"/>
    <w:rsid w:val="008F5ED1"/>
    <w:rsid w:val="00902FD9"/>
    <w:rsid w:val="00905688"/>
    <w:rsid w:val="009065DC"/>
    <w:rsid w:val="00914F24"/>
    <w:rsid w:val="0091667B"/>
    <w:rsid w:val="00947669"/>
    <w:rsid w:val="00953D59"/>
    <w:rsid w:val="00953FA7"/>
    <w:rsid w:val="00960074"/>
    <w:rsid w:val="009703C0"/>
    <w:rsid w:val="00986302"/>
    <w:rsid w:val="0098633C"/>
    <w:rsid w:val="00986E67"/>
    <w:rsid w:val="009A6009"/>
    <w:rsid w:val="009B2A26"/>
    <w:rsid w:val="009B5AC4"/>
    <w:rsid w:val="009B6299"/>
    <w:rsid w:val="009D17C4"/>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80890"/>
    <w:rsid w:val="00AA26B7"/>
    <w:rsid w:val="00AA4FC2"/>
    <w:rsid w:val="00AC4256"/>
    <w:rsid w:val="00AD0B8C"/>
    <w:rsid w:val="00AE2E11"/>
    <w:rsid w:val="00B022C3"/>
    <w:rsid w:val="00B108B4"/>
    <w:rsid w:val="00B1624B"/>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6C9D"/>
    <w:rsid w:val="00C37729"/>
    <w:rsid w:val="00C50AF3"/>
    <w:rsid w:val="00C528D1"/>
    <w:rsid w:val="00C574FA"/>
    <w:rsid w:val="00C72501"/>
    <w:rsid w:val="00C76A24"/>
    <w:rsid w:val="00C815B3"/>
    <w:rsid w:val="00C81A67"/>
    <w:rsid w:val="00CA0325"/>
    <w:rsid w:val="00CA1867"/>
    <w:rsid w:val="00CB62C1"/>
    <w:rsid w:val="00CC2B40"/>
    <w:rsid w:val="00CC3473"/>
    <w:rsid w:val="00CE6FD2"/>
    <w:rsid w:val="00CF3803"/>
    <w:rsid w:val="00CF4064"/>
    <w:rsid w:val="00D06236"/>
    <w:rsid w:val="00D072BB"/>
    <w:rsid w:val="00D15668"/>
    <w:rsid w:val="00D172AD"/>
    <w:rsid w:val="00D3408F"/>
    <w:rsid w:val="00D426E7"/>
    <w:rsid w:val="00D42D10"/>
    <w:rsid w:val="00D569AD"/>
    <w:rsid w:val="00D804A6"/>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77D0E"/>
    <w:rsid w:val="00E862AB"/>
    <w:rsid w:val="00E9222B"/>
    <w:rsid w:val="00E94CCA"/>
    <w:rsid w:val="00EA3E5F"/>
    <w:rsid w:val="00EB58F8"/>
    <w:rsid w:val="00EC2343"/>
    <w:rsid w:val="00EC4881"/>
    <w:rsid w:val="00EC6EA3"/>
    <w:rsid w:val="00EE4761"/>
    <w:rsid w:val="00EF0984"/>
    <w:rsid w:val="00EF3442"/>
    <w:rsid w:val="00F037F9"/>
    <w:rsid w:val="00F23165"/>
    <w:rsid w:val="00F277FE"/>
    <w:rsid w:val="00F40ACD"/>
    <w:rsid w:val="00F4283A"/>
    <w:rsid w:val="00F53F50"/>
    <w:rsid w:val="00F614ED"/>
    <w:rsid w:val="00F62B93"/>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BC033471-ACFD-45E8-B808-CA157E55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j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65DFA-85FB-4149-A27B-42E5602A3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1251</Words>
  <Characters>7133</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Mihaldová</dc:creator>
  <cp:lastModifiedBy>Miroslava Mihaldová</cp:lastModifiedBy>
  <cp:revision>3</cp:revision>
  <cp:lastPrinted>2022-01-18T07:35:00Z</cp:lastPrinted>
  <dcterms:created xsi:type="dcterms:W3CDTF">2023-08-10T12:48:00Z</dcterms:created>
  <dcterms:modified xsi:type="dcterms:W3CDTF">2023-08-10T12:52:00Z</dcterms:modified>
</cp:coreProperties>
</file>