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8B3B9" w14:textId="77777777" w:rsidR="009909B3" w:rsidRDefault="009909B3" w:rsidP="009909B3">
      <w:pPr>
        <w:spacing w:after="0" w:line="240" w:lineRule="auto"/>
        <w:ind w:left="927" w:hanging="360"/>
        <w:jc w:val="both"/>
      </w:pPr>
    </w:p>
    <w:p w14:paraId="63B338F4" w14:textId="77777777" w:rsidR="009909B3" w:rsidRDefault="009909B3" w:rsidP="009909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254509FA" w14:textId="484394E0" w:rsidR="009909B3" w:rsidRPr="009909B3" w:rsidRDefault="009909B3" w:rsidP="009909B3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lang w:eastAsia="sk-SK"/>
        </w:rPr>
      </w:pPr>
      <w:r w:rsidRPr="009909B3">
        <w:rPr>
          <w:rFonts w:ascii="Times New Roman" w:eastAsia="Times New Roman" w:hAnsi="Times New Roman" w:cs="Times New Roman"/>
          <w:lang w:eastAsia="sk-SK"/>
        </w:rPr>
        <w:t>V prípade dodávky elektriny</w:t>
      </w:r>
      <w:r w:rsidRPr="009909B3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Pr="009909B3">
        <w:rPr>
          <w:rFonts w:ascii="Times New Roman" w:eastAsia="Times New Roman" w:hAnsi="Times New Roman" w:cs="Times New Roman"/>
          <w:lang w:eastAsia="sk-SK"/>
        </w:rPr>
        <w:t xml:space="preserve">do </w:t>
      </w:r>
      <w:r w:rsidRPr="009909B3">
        <w:rPr>
          <w:rFonts w:ascii="Times New Roman" w:eastAsia="Times New Roman" w:hAnsi="Times New Roman" w:cs="Times New Roman"/>
          <w:b/>
          <w:bCs/>
          <w:lang w:eastAsia="sk-SK"/>
        </w:rPr>
        <w:t>mesačne odčítaných Odberných miest</w:t>
      </w:r>
      <w:r w:rsidRPr="009909B3">
        <w:rPr>
          <w:rFonts w:ascii="Times New Roman" w:eastAsia="Times New Roman" w:hAnsi="Times New Roman" w:cs="Times New Roman"/>
          <w:lang w:eastAsia="sk-SK"/>
        </w:rPr>
        <w:t>, t. j.</w:t>
      </w:r>
      <w:r w:rsidRPr="009909B3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Pr="009909B3">
        <w:rPr>
          <w:rFonts w:ascii="Times New Roman" w:eastAsia="Times New Roman" w:hAnsi="Times New Roman" w:cs="Times New Roman"/>
          <w:lang w:eastAsia="sk-SK"/>
        </w:rPr>
        <w:t xml:space="preserve">Odberných miest s inštalovaným </w:t>
      </w:r>
      <w:proofErr w:type="spellStart"/>
      <w:r w:rsidRPr="009909B3">
        <w:rPr>
          <w:rFonts w:ascii="Times New Roman" w:eastAsia="Times New Roman" w:hAnsi="Times New Roman" w:cs="Times New Roman"/>
          <w:lang w:eastAsia="sk-SK"/>
        </w:rPr>
        <w:t>priebehovým</w:t>
      </w:r>
      <w:proofErr w:type="spellEnd"/>
      <w:r w:rsidRPr="009909B3">
        <w:rPr>
          <w:rFonts w:ascii="Times New Roman" w:eastAsia="Times New Roman" w:hAnsi="Times New Roman" w:cs="Times New Roman"/>
          <w:lang w:eastAsia="sk-SK"/>
        </w:rPr>
        <w:t xml:space="preserve"> meraním (meraním typu A </w:t>
      </w:r>
      <w:proofErr w:type="spellStart"/>
      <w:r w:rsidRPr="009909B3">
        <w:rPr>
          <w:rFonts w:ascii="Times New Roman" w:eastAsia="Times New Roman" w:hAnsi="Times New Roman" w:cs="Times New Roman"/>
          <w:lang w:eastAsia="sk-SK"/>
        </w:rPr>
        <w:t>a</w:t>
      </w:r>
      <w:proofErr w:type="spellEnd"/>
      <w:r w:rsidRPr="009909B3">
        <w:rPr>
          <w:rFonts w:ascii="Times New Roman" w:eastAsia="Times New Roman" w:hAnsi="Times New Roman" w:cs="Times New Roman"/>
          <w:lang w:eastAsia="sk-SK"/>
        </w:rPr>
        <w:t> typu B) sa jednotková cena za dodávku elektriny (€/MWh) určí samostatne</w:t>
      </w:r>
      <w:r w:rsidRPr="009909B3" w:rsidDel="002476E4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9909B3">
        <w:rPr>
          <w:rFonts w:ascii="Times New Roman" w:eastAsia="Times New Roman" w:hAnsi="Times New Roman" w:cs="Times New Roman"/>
          <w:lang w:eastAsia="sk-SK"/>
        </w:rPr>
        <w:t>pre každý kalendárny mesiac zmluvného obdobia, a to spoločne pre všetky mesačne odčítané Odberné miesta výpočtom podľa nasledujúceho vzorca:</w:t>
      </w:r>
    </w:p>
    <w:p w14:paraId="649C901D" w14:textId="77777777" w:rsidR="009909B3" w:rsidRPr="009909B3" w:rsidRDefault="009909B3" w:rsidP="009909B3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lang w:eastAsia="sk-SK"/>
        </w:rPr>
      </w:pPr>
    </w:p>
    <w:p w14:paraId="65518FA2" w14:textId="77777777" w:rsidR="009909B3" w:rsidRPr="009909B3" w:rsidRDefault="009909B3" w:rsidP="009909B3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lang w:eastAsia="sk-SK"/>
        </w:rPr>
      </w:pPr>
    </w:p>
    <w:p w14:paraId="050037A9" w14:textId="77777777" w:rsidR="009909B3" w:rsidRPr="009909B3" w:rsidRDefault="00141A2D" w:rsidP="009909B3">
      <w:pPr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lang w:eastAsia="sk-SK"/>
        </w:rPr>
      </w:pPr>
      <m:oMathPara>
        <m:oMath>
          <m:f>
            <m:fPr>
              <m:ctrlPr>
                <w:rPr>
                  <w:rFonts w:ascii="Cambria Math" w:eastAsia="Calibri" w:hAnsi="Cambria Math" w:cs="Times New Roman"/>
                  <w:b/>
                  <w:bCs/>
                  <w:i/>
                  <w:iCs/>
                  <w:lang w:eastAsia="sk-SK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="Calibri" w:hAnsi="Cambria Math" w:cs="Times New Roman"/>
                      <w:b/>
                      <w:bCs/>
                      <w:lang w:eastAsia="sk-SK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sk-SK"/>
                    </w:rPr>
                    <m:t>h</m:t>
                  </m:r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lang w:eastAsia="sk-SK"/>
                    </w:rPr>
                    <m:t>=1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sk-SK"/>
                    </w:rPr>
                    <m:t>m</m:t>
                  </m:r>
                </m:sup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b/>
                          <w:bCs/>
                          <w:lang w:eastAsia="sk-SK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eastAsia="Calibri" w:hAnsi="Cambria Math" w:cs="Times New Roman"/>
                              <w:b/>
                              <w:bCs/>
                              <w:lang w:eastAsia="sk-SK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bCs/>
                                  <w:lang w:eastAsia="sk-SK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Times New Roman"/>
                                  <w:lang w:eastAsia="sk-SK"/>
                                </w:rPr>
                                <m:t>SPOT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Times New Roman"/>
                                  <w:lang w:eastAsia="sk-SK"/>
                                </w:rPr>
                                <m:t>h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eastAsia="Times New Roman" w:hAnsi="Cambria Math" w:cs="Times New Roman"/>
                              <w:lang w:eastAsia="sk-SK"/>
                            </w:rPr>
                            <m:t>+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lang w:eastAsia="sk-SK"/>
                            </w:rPr>
                            <m:t>K</m:t>
                          </m:r>
                        </m:e>
                      </m:d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Times New Roman"/>
                          <w:lang w:eastAsia="sk-SK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b/>
                              <w:bCs/>
                              <w:lang w:eastAsia="sk-SK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lang w:eastAsia="sk-SK"/>
                            </w:rPr>
                            <m:t>QMR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lang w:eastAsia="sk-SK"/>
                            </w:rPr>
                            <m:t>h</m:t>
                          </m:r>
                        </m:sub>
                      </m:sSub>
                    </m:e>
                  </m:d>
                </m:e>
              </m:nary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lang w:eastAsia="sk-SK"/>
                </w:rPr>
                <m:t xml:space="preserve"> </m:t>
              </m:r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eastAsia="Calibri" w:hAnsi="Cambria Math" w:cs="Times New Roman"/>
                      <w:b/>
                      <w:bCs/>
                      <w:i/>
                      <w:iCs/>
                      <w:lang w:eastAsia="sk-SK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sk-SK"/>
                    </w:rPr>
                    <m:t>h=1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lang w:eastAsia="sk-SK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b/>
                          <w:bCs/>
                          <w:i/>
                          <w:iCs/>
                          <w:lang w:eastAsia="sk-SK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lang w:eastAsia="sk-SK"/>
                        </w:rPr>
                        <m:t>QMR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lang w:eastAsia="sk-SK"/>
                        </w:rPr>
                        <m:t>h</m:t>
                      </m:r>
                    </m:sub>
                  </m:sSub>
                </m:e>
              </m:nary>
            </m:den>
          </m:f>
        </m:oMath>
      </m:oMathPara>
    </w:p>
    <w:p w14:paraId="746400E5" w14:textId="77777777" w:rsidR="009909B3" w:rsidRPr="009909B3" w:rsidRDefault="009909B3" w:rsidP="009909B3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lang w:eastAsia="sk-SK"/>
        </w:rPr>
      </w:pPr>
      <w:r w:rsidRPr="009909B3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3B833B5E" w14:textId="77777777" w:rsidR="009909B3" w:rsidRPr="009909B3" w:rsidRDefault="009909B3" w:rsidP="009909B3">
      <w:pPr>
        <w:spacing w:after="0" w:line="240" w:lineRule="auto"/>
        <w:ind w:left="1985" w:hanging="992"/>
        <w:jc w:val="both"/>
        <w:rPr>
          <w:rFonts w:ascii="Times New Roman" w:eastAsia="Times New Roman" w:hAnsi="Times New Roman" w:cs="Times New Roman"/>
        </w:rPr>
      </w:pPr>
      <w:r w:rsidRPr="009909B3">
        <w:rPr>
          <w:rFonts w:ascii="Times New Roman" w:eastAsia="Times New Roman" w:hAnsi="Times New Roman" w:cs="Times New Roman"/>
        </w:rPr>
        <w:t xml:space="preserve">m               je počet hodín v mesiaci „M“ </w:t>
      </w:r>
    </w:p>
    <w:p w14:paraId="34894776" w14:textId="77777777" w:rsidR="009909B3" w:rsidRPr="009909B3" w:rsidRDefault="009909B3" w:rsidP="009909B3">
      <w:pPr>
        <w:spacing w:after="0" w:line="240" w:lineRule="auto"/>
        <w:ind w:left="1985" w:hanging="992"/>
        <w:jc w:val="both"/>
        <w:rPr>
          <w:rFonts w:ascii="Times New Roman" w:eastAsia="Times New Roman" w:hAnsi="Times New Roman" w:cs="Times New Roman"/>
        </w:rPr>
      </w:pPr>
      <w:proofErr w:type="spellStart"/>
      <w:r w:rsidRPr="009909B3">
        <w:rPr>
          <w:rFonts w:ascii="Times New Roman" w:eastAsia="Times New Roman" w:hAnsi="Times New Roman" w:cs="Times New Roman"/>
        </w:rPr>
        <w:t>SPOT</w:t>
      </w:r>
      <w:r w:rsidRPr="009909B3">
        <w:rPr>
          <w:rFonts w:ascii="Times New Roman" w:eastAsia="Times New Roman" w:hAnsi="Times New Roman" w:cs="Times New Roman"/>
          <w:vertAlign w:val="subscript"/>
        </w:rPr>
        <w:t>h</w:t>
      </w:r>
      <w:proofErr w:type="spellEnd"/>
      <w:r w:rsidRPr="009909B3">
        <w:rPr>
          <w:rFonts w:ascii="Times New Roman" w:eastAsia="Times New Roman" w:hAnsi="Times New Roman" w:cs="Times New Roman"/>
        </w:rPr>
        <w:t xml:space="preserve">      </w:t>
      </w:r>
      <w:r w:rsidRPr="009909B3">
        <w:rPr>
          <w:rFonts w:ascii="Times New Roman" w:eastAsia="Times New Roman" w:hAnsi="Times New Roman" w:cs="Times New Roman"/>
        </w:rPr>
        <w:tab/>
        <w:t xml:space="preserve">je jednotková cena elektriny na krátkodobom trhu v SR  v príslušnej hodine dodávky elektriny (ďalej aj ako hodina „h“) mesiaca „M“ (€/MWh) zverejnená na stránke </w:t>
      </w:r>
      <w:hyperlink r:id="rId8" w:history="1">
        <w:r w:rsidRPr="009909B3">
          <w:rPr>
            <w:rFonts w:ascii="Times New Roman" w:eastAsia="Times New Roman" w:hAnsi="Times New Roman" w:cs="Times New Roman"/>
            <w:u w:val="single"/>
          </w:rPr>
          <w:t>https://www.okte.sk/sk/kratkodoby-trh/zverejnenie-udajov/</w:t>
        </w:r>
      </w:hyperlink>
      <w:r w:rsidRPr="009909B3">
        <w:rPr>
          <w:rFonts w:ascii="Times New Roman" w:eastAsia="Times New Roman" w:hAnsi="Times New Roman" w:cs="Times New Roman"/>
        </w:rPr>
        <w:t xml:space="preserve"> </w:t>
      </w:r>
    </w:p>
    <w:p w14:paraId="11874A32" w14:textId="77777777" w:rsidR="009909B3" w:rsidRPr="009909B3" w:rsidRDefault="009909B3" w:rsidP="009909B3">
      <w:pPr>
        <w:spacing w:after="0" w:line="240" w:lineRule="auto"/>
        <w:ind w:left="1985" w:hanging="992"/>
        <w:jc w:val="both"/>
        <w:rPr>
          <w:rFonts w:ascii="Times New Roman" w:eastAsia="Times New Roman" w:hAnsi="Times New Roman" w:cs="Times New Roman"/>
        </w:rPr>
      </w:pPr>
      <w:proofErr w:type="spellStart"/>
      <w:r w:rsidRPr="009909B3">
        <w:rPr>
          <w:rFonts w:ascii="Times New Roman" w:eastAsia="Times New Roman" w:hAnsi="Times New Roman" w:cs="Times New Roman"/>
        </w:rPr>
        <w:t>QMR</w:t>
      </w:r>
      <w:r w:rsidRPr="009909B3">
        <w:rPr>
          <w:rFonts w:ascii="Times New Roman" w:eastAsia="Times New Roman" w:hAnsi="Times New Roman" w:cs="Times New Roman"/>
          <w:vertAlign w:val="subscript"/>
        </w:rPr>
        <w:t>h</w:t>
      </w:r>
      <w:proofErr w:type="spellEnd"/>
      <w:r w:rsidRPr="009909B3">
        <w:rPr>
          <w:rFonts w:ascii="Times New Roman" w:eastAsia="Times New Roman" w:hAnsi="Times New Roman" w:cs="Times New Roman"/>
        </w:rPr>
        <w:t xml:space="preserve">       </w:t>
      </w:r>
      <w:r w:rsidRPr="009909B3">
        <w:rPr>
          <w:rFonts w:ascii="Times New Roman" w:eastAsia="Times New Roman" w:hAnsi="Times New Roman" w:cs="Times New Roman"/>
        </w:rPr>
        <w:tab/>
        <w:t>je skutočná spotreba Odberateľa v hodine „h“ mesiaca „M“ (MWh) na všetkých mesačne odčítaných Odberných miestach</w:t>
      </w:r>
    </w:p>
    <w:p w14:paraId="0E3608DA" w14:textId="77777777" w:rsidR="009909B3" w:rsidRPr="009909B3" w:rsidRDefault="009909B3" w:rsidP="009909B3">
      <w:pPr>
        <w:spacing w:after="0" w:line="240" w:lineRule="auto"/>
        <w:ind w:left="1985" w:hanging="992"/>
        <w:jc w:val="both"/>
        <w:rPr>
          <w:rFonts w:ascii="Times New Roman" w:eastAsia="Times New Roman" w:hAnsi="Times New Roman" w:cs="Times New Roman"/>
        </w:rPr>
      </w:pPr>
      <w:r w:rsidRPr="009909B3">
        <w:rPr>
          <w:rFonts w:ascii="Times New Roman" w:eastAsia="Times New Roman" w:hAnsi="Times New Roman" w:cs="Times New Roman"/>
        </w:rPr>
        <w:t xml:space="preserve">K               </w:t>
      </w:r>
      <w:r w:rsidRPr="009909B3">
        <w:rPr>
          <w:rFonts w:ascii="Times New Roman" w:eastAsia="Times New Roman" w:hAnsi="Times New Roman" w:cs="Times New Roman"/>
        </w:rPr>
        <w:tab/>
        <w:t xml:space="preserve">je koeficient  ........ (€/MWh)   </w:t>
      </w:r>
    </w:p>
    <w:p w14:paraId="49FE5EDF" w14:textId="77777777" w:rsidR="009909B3" w:rsidRPr="009909B3" w:rsidRDefault="009909B3" w:rsidP="009909B3">
      <w:pPr>
        <w:spacing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</w:p>
    <w:p w14:paraId="3E8A7C62" w14:textId="77777777" w:rsidR="009909B3" w:rsidRPr="009909B3" w:rsidRDefault="009909B3" w:rsidP="009909B3">
      <w:pPr>
        <w:spacing w:after="0" w:line="240" w:lineRule="auto"/>
        <w:ind w:left="851" w:firstLine="142"/>
        <w:jc w:val="both"/>
        <w:rPr>
          <w:rFonts w:ascii="Times New Roman" w:eastAsia="Times New Roman" w:hAnsi="Times New Roman" w:cs="Times New Roman"/>
          <w:bCs/>
        </w:rPr>
      </w:pPr>
      <w:r w:rsidRPr="009909B3">
        <w:rPr>
          <w:rFonts w:ascii="Times New Roman" w:eastAsia="Times New Roman" w:hAnsi="Times New Roman" w:cs="Times New Roman"/>
          <w:bCs/>
        </w:rPr>
        <w:t xml:space="preserve">Výsledok výpočtu podľa tohto vzorca sa zaokrúhli matematicky na dve desatinné miesta. </w:t>
      </w:r>
    </w:p>
    <w:p w14:paraId="61D2A09A" w14:textId="77777777" w:rsidR="009909B3" w:rsidRPr="009909B3" w:rsidRDefault="009909B3" w:rsidP="009909B3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</w:rPr>
      </w:pPr>
    </w:p>
    <w:p w14:paraId="68682E73" w14:textId="77777777" w:rsidR="009909B3" w:rsidRPr="009909B3" w:rsidRDefault="009909B3" w:rsidP="009909B3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</w:rPr>
      </w:pPr>
      <w:r w:rsidRPr="009909B3">
        <w:rPr>
          <w:rFonts w:ascii="Times New Roman" w:eastAsia="Times New Roman" w:hAnsi="Times New Roman" w:cs="Times New Roman"/>
        </w:rPr>
        <w:t xml:space="preserve">Podmienkou výpočtu ceny podľa tohto písm. a) je dostupnosť profilu spotreby Odberateľa na danom Odbernom mieste, ktorý Dodávateľovi poskytne </w:t>
      </w:r>
      <w:proofErr w:type="spellStart"/>
      <w:r w:rsidRPr="009909B3">
        <w:rPr>
          <w:rFonts w:ascii="Times New Roman" w:eastAsia="Times New Roman" w:hAnsi="Times New Roman" w:cs="Times New Roman"/>
        </w:rPr>
        <w:t>PDS</w:t>
      </w:r>
      <w:proofErr w:type="spellEnd"/>
      <w:r w:rsidRPr="009909B3">
        <w:rPr>
          <w:rFonts w:ascii="Times New Roman" w:eastAsia="Times New Roman" w:hAnsi="Times New Roman" w:cs="Times New Roman"/>
        </w:rPr>
        <w:t xml:space="preserve">. Ak </w:t>
      </w:r>
      <w:proofErr w:type="spellStart"/>
      <w:r w:rsidRPr="009909B3">
        <w:rPr>
          <w:rFonts w:ascii="Times New Roman" w:eastAsia="Times New Roman" w:hAnsi="Times New Roman" w:cs="Times New Roman"/>
        </w:rPr>
        <w:t>PDS</w:t>
      </w:r>
      <w:proofErr w:type="spellEnd"/>
      <w:r w:rsidRPr="009909B3">
        <w:rPr>
          <w:rFonts w:ascii="Times New Roman" w:eastAsia="Times New Roman" w:hAnsi="Times New Roman" w:cs="Times New Roman"/>
        </w:rPr>
        <w:t xml:space="preserve"> neposkytne Dodávateľovi profil spotreby Odberateľa na danom Odbernom mieste za príslušný kalendárny mesiac do vystavenia vyúčtovacej faktúry, jednotková cena za dodávku elektriny v danom kalendárnom mesiaci na danom Odbernom mieste sa vypočíta samostatne podľa vyššie uvedeného vzorca s tým, že hodnota </w:t>
      </w:r>
      <w:proofErr w:type="spellStart"/>
      <w:r w:rsidRPr="009909B3">
        <w:rPr>
          <w:rFonts w:ascii="Times New Roman" w:eastAsia="Times New Roman" w:hAnsi="Times New Roman" w:cs="Times New Roman"/>
        </w:rPr>
        <w:t>QMR</w:t>
      </w:r>
      <w:r w:rsidRPr="009909B3">
        <w:rPr>
          <w:rFonts w:ascii="Times New Roman" w:eastAsia="Times New Roman" w:hAnsi="Times New Roman" w:cs="Times New Roman"/>
          <w:vertAlign w:val="subscript"/>
        </w:rPr>
        <w:t>h</w:t>
      </w:r>
      <w:proofErr w:type="spellEnd"/>
      <w:r w:rsidRPr="009909B3">
        <w:rPr>
          <w:rFonts w:ascii="Times New Roman" w:eastAsia="Times New Roman" w:hAnsi="Times New Roman" w:cs="Times New Roman"/>
        </w:rPr>
        <w:t xml:space="preserve"> sa nahradí hodnotou </w:t>
      </w:r>
      <w:proofErr w:type="spellStart"/>
      <w:r w:rsidRPr="009909B3">
        <w:rPr>
          <w:rFonts w:ascii="Times New Roman" w:eastAsia="Times New Roman" w:hAnsi="Times New Roman" w:cs="Times New Roman"/>
        </w:rPr>
        <w:t>TDO</w:t>
      </w:r>
      <w:r w:rsidRPr="009909B3">
        <w:rPr>
          <w:rFonts w:ascii="Times New Roman" w:eastAsia="Times New Roman" w:hAnsi="Times New Roman" w:cs="Times New Roman"/>
          <w:vertAlign w:val="subscript"/>
        </w:rPr>
        <w:t>h</w:t>
      </w:r>
      <w:proofErr w:type="spellEnd"/>
      <w:r w:rsidRPr="009909B3">
        <w:rPr>
          <w:rFonts w:ascii="Times New Roman" w:eastAsia="Times New Roman" w:hAnsi="Times New Roman" w:cs="Times New Roman"/>
        </w:rPr>
        <w:t xml:space="preserve">. kde </w:t>
      </w:r>
      <w:proofErr w:type="spellStart"/>
      <w:r w:rsidRPr="009909B3">
        <w:rPr>
          <w:rFonts w:ascii="Times New Roman" w:eastAsia="Times New Roman" w:hAnsi="Times New Roman" w:cs="Times New Roman"/>
        </w:rPr>
        <w:t>TDO</w:t>
      </w:r>
      <w:r w:rsidRPr="009909B3">
        <w:rPr>
          <w:rFonts w:ascii="Times New Roman" w:eastAsia="Times New Roman" w:hAnsi="Times New Roman" w:cs="Times New Roman"/>
          <w:vertAlign w:val="subscript"/>
        </w:rPr>
        <w:t>h</w:t>
      </w:r>
      <w:proofErr w:type="spellEnd"/>
      <w:r w:rsidRPr="009909B3">
        <w:rPr>
          <w:rFonts w:ascii="Times New Roman" w:eastAsia="Times New Roman" w:hAnsi="Times New Roman" w:cs="Times New Roman"/>
          <w:vertAlign w:val="subscript"/>
        </w:rPr>
        <w:t xml:space="preserve"> </w:t>
      </w:r>
      <w:r w:rsidRPr="009909B3">
        <w:rPr>
          <w:rFonts w:ascii="Times New Roman" w:eastAsia="Times New Roman" w:hAnsi="Times New Roman" w:cs="Times New Roman"/>
        </w:rPr>
        <w:t xml:space="preserve">znamená hodnotu typového diagram odberu (podľa § 22 ods. 1 vyhl. </w:t>
      </w:r>
      <w:proofErr w:type="spellStart"/>
      <w:r w:rsidRPr="009909B3">
        <w:rPr>
          <w:rFonts w:ascii="Times New Roman" w:eastAsia="Times New Roman" w:hAnsi="Times New Roman" w:cs="Times New Roman"/>
        </w:rPr>
        <w:t>URSO</w:t>
      </w:r>
      <w:proofErr w:type="spellEnd"/>
      <w:r w:rsidRPr="009909B3">
        <w:rPr>
          <w:rFonts w:ascii="Times New Roman" w:eastAsia="Times New Roman" w:hAnsi="Times New Roman" w:cs="Times New Roman"/>
        </w:rPr>
        <w:t xml:space="preserve">, ktorou sa ustanovujú pravidlá pre fungovanie vnútorného trhu s elektrinou a plynom), pravidiel trhu v príslušnej hodine „h“ mesiaca „M“ podľa triedy </w:t>
      </w:r>
      <w:proofErr w:type="spellStart"/>
      <w:r w:rsidRPr="009909B3">
        <w:rPr>
          <w:rFonts w:ascii="Times New Roman" w:eastAsia="Times New Roman" w:hAnsi="Times New Roman" w:cs="Times New Roman"/>
        </w:rPr>
        <w:t>TDO</w:t>
      </w:r>
      <w:proofErr w:type="spellEnd"/>
      <w:r w:rsidRPr="009909B3">
        <w:rPr>
          <w:rFonts w:ascii="Times New Roman" w:eastAsia="Times New Roman" w:hAnsi="Times New Roman" w:cs="Times New Roman"/>
        </w:rPr>
        <w:t xml:space="preserve"> 1 zverejnenej na webovom sídle </w:t>
      </w:r>
      <w:proofErr w:type="spellStart"/>
      <w:r w:rsidRPr="009909B3">
        <w:rPr>
          <w:rFonts w:ascii="Times New Roman" w:eastAsia="Times New Roman" w:hAnsi="Times New Roman" w:cs="Times New Roman"/>
        </w:rPr>
        <w:t>PDS</w:t>
      </w:r>
      <w:proofErr w:type="spellEnd"/>
      <w:r w:rsidRPr="009909B3">
        <w:rPr>
          <w:rFonts w:ascii="Times New Roman" w:eastAsia="Times New Roman" w:hAnsi="Times New Roman" w:cs="Times New Roman"/>
        </w:rPr>
        <w:t xml:space="preserve"> v posledný deň príslušného kalendárneho mesiaca „M“.</w:t>
      </w:r>
    </w:p>
    <w:p w14:paraId="7FCAF14D" w14:textId="41978771" w:rsidR="009909B3" w:rsidRPr="009909B3" w:rsidRDefault="009909B3" w:rsidP="009909B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27981D05" w14:textId="77777777" w:rsidR="009909B3" w:rsidRPr="009909B3" w:rsidRDefault="009909B3" w:rsidP="009909B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14:paraId="119E2103" w14:textId="77777777" w:rsidR="009909B3" w:rsidRPr="009909B3" w:rsidRDefault="009909B3" w:rsidP="009909B3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lang w:eastAsia="sk-SK"/>
        </w:rPr>
      </w:pPr>
      <w:r w:rsidRPr="009909B3">
        <w:rPr>
          <w:rFonts w:ascii="Times New Roman" w:eastAsia="Times New Roman" w:hAnsi="Times New Roman" w:cs="Times New Roman"/>
          <w:lang w:eastAsia="sk-SK"/>
        </w:rPr>
        <w:t xml:space="preserve">V jednotkovej cene vypočítanej podľa predchádzajúceho odseku je zahrnutá aj cena za prevzatie zodpovedností za odchýlku za Odberné miesta voči </w:t>
      </w:r>
      <w:proofErr w:type="spellStart"/>
      <w:r w:rsidRPr="009909B3">
        <w:rPr>
          <w:rFonts w:ascii="Times New Roman" w:eastAsia="Times New Roman" w:hAnsi="Times New Roman" w:cs="Times New Roman"/>
          <w:lang w:eastAsia="sk-SK"/>
        </w:rPr>
        <w:t>zúčtovateľovi</w:t>
      </w:r>
      <w:proofErr w:type="spellEnd"/>
      <w:r w:rsidRPr="009909B3">
        <w:rPr>
          <w:rFonts w:ascii="Times New Roman" w:eastAsia="Times New Roman" w:hAnsi="Times New Roman" w:cs="Times New Roman"/>
          <w:lang w:eastAsia="sk-SK"/>
        </w:rPr>
        <w:t xml:space="preserve"> odchýlok Dodávateľom.</w:t>
      </w:r>
    </w:p>
    <w:p w14:paraId="5E2A6860" w14:textId="77777777" w:rsidR="0032069A" w:rsidRDefault="00141A2D"/>
    <w:sectPr w:rsidR="0032069A" w:rsidSect="008B6296">
      <w:headerReference w:type="default" r:id="rId9"/>
      <w:pgSz w:w="11906" w:h="16838"/>
      <w:pgMar w:top="170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22014" w14:textId="77777777" w:rsidR="008B6296" w:rsidRDefault="008B6296" w:rsidP="008B6296">
      <w:pPr>
        <w:spacing w:after="0" w:line="240" w:lineRule="auto"/>
      </w:pPr>
      <w:r>
        <w:separator/>
      </w:r>
    </w:p>
  </w:endnote>
  <w:endnote w:type="continuationSeparator" w:id="0">
    <w:p w14:paraId="0F816EFE" w14:textId="77777777" w:rsidR="008B6296" w:rsidRDefault="008B6296" w:rsidP="008B6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32430" w14:textId="77777777" w:rsidR="008B6296" w:rsidRDefault="008B6296" w:rsidP="008B6296">
      <w:pPr>
        <w:spacing w:after="0" w:line="240" w:lineRule="auto"/>
      </w:pPr>
      <w:r>
        <w:separator/>
      </w:r>
    </w:p>
  </w:footnote>
  <w:footnote w:type="continuationSeparator" w:id="0">
    <w:p w14:paraId="352D15A3" w14:textId="77777777" w:rsidR="008B6296" w:rsidRDefault="008B6296" w:rsidP="008B6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488CA" w14:textId="1D12F244" w:rsidR="00847263" w:rsidRDefault="008B6296" w:rsidP="00847263">
    <w:pPr>
      <w:pStyle w:val="Hlavika"/>
      <w:jc w:val="right"/>
      <w:rPr>
        <w:rFonts w:ascii="Times New Roman" w:hAnsi="Times New Roman" w:cs="Times New Roman"/>
        <w:b/>
        <w:sz w:val="24"/>
        <w:szCs w:val="24"/>
      </w:rPr>
    </w:pPr>
    <w:r w:rsidRPr="008B6296">
      <w:rPr>
        <w:rFonts w:ascii="Times New Roman" w:hAnsi="Times New Roman" w:cs="Times New Roman"/>
        <w:b/>
        <w:sz w:val="24"/>
        <w:szCs w:val="24"/>
      </w:rPr>
      <w:t xml:space="preserve">Príloha č. </w:t>
    </w:r>
    <w:r w:rsidR="00141A2D">
      <w:rPr>
        <w:rFonts w:ascii="Times New Roman" w:hAnsi="Times New Roman" w:cs="Times New Roman"/>
        <w:b/>
        <w:sz w:val="24"/>
        <w:szCs w:val="24"/>
      </w:rPr>
      <w:t>2</w:t>
    </w:r>
    <w:r w:rsidR="00847263">
      <w:rPr>
        <w:rFonts w:ascii="Times New Roman" w:hAnsi="Times New Roman" w:cs="Times New Roman"/>
        <w:b/>
        <w:sz w:val="24"/>
        <w:szCs w:val="24"/>
      </w:rPr>
      <w:t xml:space="preserve"> k zmluve o združenej dodávke elektriny č. .......................</w:t>
    </w:r>
  </w:p>
  <w:p w14:paraId="3AB20D47" w14:textId="77777777" w:rsidR="00847263" w:rsidRDefault="00847263">
    <w:pPr>
      <w:pStyle w:val="Hlavika"/>
      <w:rPr>
        <w:rFonts w:ascii="Times New Roman" w:hAnsi="Times New Roman" w:cs="Times New Roman"/>
        <w:sz w:val="24"/>
        <w:szCs w:val="24"/>
      </w:rPr>
    </w:pPr>
  </w:p>
  <w:p w14:paraId="393BAE39" w14:textId="77777777" w:rsidR="009909B3" w:rsidRDefault="009909B3" w:rsidP="009909B3">
    <w:pPr>
      <w:pStyle w:val="Hlavika"/>
      <w:jc w:val="center"/>
      <w:rPr>
        <w:rFonts w:ascii="Times New Roman" w:hAnsi="Times New Roman" w:cs="Times New Roman"/>
        <w:sz w:val="24"/>
        <w:szCs w:val="24"/>
      </w:rPr>
    </w:pPr>
  </w:p>
  <w:p w14:paraId="52E3269A" w14:textId="3260737F" w:rsidR="008B6296" w:rsidRPr="00141A2D" w:rsidRDefault="009909B3" w:rsidP="009909B3">
    <w:pPr>
      <w:pStyle w:val="Hlavika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141A2D">
      <w:rPr>
        <w:rFonts w:ascii="Times New Roman" w:hAnsi="Times New Roman" w:cs="Times New Roman"/>
        <w:b/>
        <w:bCs/>
        <w:sz w:val="28"/>
        <w:szCs w:val="28"/>
      </w:rPr>
      <w:t>Výpočet jednotkovej ceny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3C7E"/>
    <w:multiLevelType w:val="hybridMultilevel"/>
    <w:tmpl w:val="4FBC32B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B024DDC"/>
    <w:multiLevelType w:val="hybridMultilevel"/>
    <w:tmpl w:val="A1500E28"/>
    <w:lvl w:ilvl="0" w:tplc="64BE38E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hint="default"/>
        <w:b w:val="0"/>
        <w:bCs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53379038">
    <w:abstractNumId w:val="1"/>
  </w:num>
  <w:num w:numId="2" w16cid:durableId="1631549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FB8"/>
    <w:rsid w:val="00010453"/>
    <w:rsid w:val="00021879"/>
    <w:rsid w:val="00141A2D"/>
    <w:rsid w:val="0014315F"/>
    <w:rsid w:val="001606FD"/>
    <w:rsid w:val="00207A12"/>
    <w:rsid w:val="003B63E9"/>
    <w:rsid w:val="00505214"/>
    <w:rsid w:val="005E242C"/>
    <w:rsid w:val="005E5BEB"/>
    <w:rsid w:val="006C54D6"/>
    <w:rsid w:val="00737787"/>
    <w:rsid w:val="007A1165"/>
    <w:rsid w:val="00832CBA"/>
    <w:rsid w:val="0084303B"/>
    <w:rsid w:val="00847263"/>
    <w:rsid w:val="00884FB8"/>
    <w:rsid w:val="008B6296"/>
    <w:rsid w:val="009576BD"/>
    <w:rsid w:val="009909B3"/>
    <w:rsid w:val="00CC3EFC"/>
    <w:rsid w:val="00E1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EBBE91"/>
  <w15:docId w15:val="{34047231-1A78-4124-B76F-E8587DBB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B6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6296"/>
  </w:style>
  <w:style w:type="paragraph" w:styleId="Pta">
    <w:name w:val="footer"/>
    <w:basedOn w:val="Normlny"/>
    <w:link w:val="PtaChar"/>
    <w:uiPriority w:val="99"/>
    <w:unhideWhenUsed/>
    <w:rsid w:val="008B6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6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2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te.sk/sk/kratkodoby-trh/zverejnenie-udajov/mesacna-sprava-o-d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Elektrina" edit="true"/>
    <f:field ref="objsubject" par="" text="" edit="true"/>
    <f:field ref="objcreatedby" par="" text="TARBAJ, Matej, Mgr."/>
    <f:field ref="objcreatedat" par="" date="2020-06-23T14:33:25" text="23.6.2020 14:33:25"/>
    <f:field ref="objchangedby" par="" text="FSCORGUNIT, System"/>
    <f:field ref="objmodifiedat" par="" date="2021-02-27T13:46:41" text="27.2.2021 13:46:41"/>
    <f:field ref="doc_FSCFOLIO_1_1001_FieldDocumentNumber" par="" text=""/>
    <f:field ref="doc_FSCFOLIO_1_1001_FieldSubject" par="" text="" edit="true"/>
    <f:field ref="FSCFOLIO_1_1001_FieldCurrentUser" par="" text="Mgr. Matej TARBAJ"/>
    <f:field ref="CCAPRECONFIG_15_1001_Objektname" par="" text="Elektrin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Šimunová</dc:creator>
  <cp:lastModifiedBy>Matej TARBAJ</cp:lastModifiedBy>
  <cp:revision>4</cp:revision>
  <dcterms:created xsi:type="dcterms:W3CDTF">2023-09-12T12:26:00Z</dcterms:created>
  <dcterms:modified xsi:type="dcterms:W3CDTF">2023-09-12T12:28:00Z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Mgr. Matej TARBAJ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23. 6. 2020, 14:33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TARBAJ, Matej, Mgr.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23.06.2020</vt:lpwstr>
  </property>
  <property fmtid="{D5CDD505-2E9C-101B-9397-08002B2CF9AE}" pid="361" name="FSC#COOELAK@1.1001:OU">
    <vt:lpwstr>OPSZ(Oddelenie právnych služieb a zmlúv)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*COO.2145.2000.2.12068850*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6</vt:lpwstr>
  </property>
  <property fmtid="{D5CDD505-2E9C-101B-9397-08002B2CF9AE}" pid="380" name="FSC#COOELAK@1.1001:CurrentUserEmail">
    <vt:lpwstr>matej.tarbaj@mzv.sk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COO.2145.2000.2.12068850</vt:lpwstr>
  </property>
  <property fmtid="{D5CDD505-2E9C-101B-9397-08002B2CF9AE}" pid="412" name="FSC#FSCFOLIO@1.1001:docpropproject">
    <vt:lpwstr/>
  </property>
</Properties>
</file>