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5C58C6">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5C58C6">
        <w:rPr>
          <w:rFonts w:ascii="Times New Roman" w:hAnsi="Times New Roman"/>
          <w:b/>
          <w:sz w:val="24"/>
        </w:rPr>
        <w:t>4</w:t>
      </w:r>
      <w:r w:rsidRPr="002974D3">
        <w:rPr>
          <w:rFonts w:ascii="Times New Roman" w:hAnsi="Times New Roman"/>
          <w:sz w:val="24"/>
        </w:rPr>
        <w:t xml:space="preserve">“ pre </w:t>
      </w:r>
      <w:r w:rsidRPr="002974D3">
        <w:rPr>
          <w:rFonts w:ascii="Times New Roman" w:hAnsi="Times New Roman"/>
          <w:b/>
          <w:sz w:val="24"/>
        </w:rPr>
        <w:t xml:space="preserve">časť </w:t>
      </w:r>
      <w:r w:rsidR="002C3030">
        <w:rPr>
          <w:rFonts w:ascii="Times New Roman" w:hAnsi="Times New Roman"/>
          <w:b/>
          <w:sz w:val="24"/>
        </w:rPr>
        <w:t>2 Mrazené a chladené potraviny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534FC6">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534FC6">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2C3030">
        <w:rPr>
          <w:rFonts w:ascii="Times New Roman" w:hAnsi="Times New Roman"/>
          <w:b/>
          <w:sz w:val="24"/>
        </w:rPr>
        <w:t>2</w:t>
      </w:r>
      <w:r w:rsidR="00143968" w:rsidRPr="00143968">
        <w:rPr>
          <w:rFonts w:ascii="Times New Roman" w:hAnsi="Times New Roman"/>
          <w:b/>
          <w:sz w:val="24"/>
        </w:rPr>
        <w:t xml:space="preserve"> </w:t>
      </w:r>
      <w:r w:rsidR="002C3030">
        <w:rPr>
          <w:rFonts w:ascii="Times New Roman" w:hAnsi="Times New Roman"/>
          <w:b/>
          <w:sz w:val="24"/>
        </w:rPr>
        <w:t>Mrazené a chladené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9A50C4">
        <w:rPr>
          <w:rFonts w:ascii="Times New Roman" w:hAnsi="Times New Roman"/>
          <w:b/>
          <w:sz w:val="24"/>
          <w:szCs w:val="24"/>
        </w:rPr>
        <w:t>jeden krát týždenne</w:t>
      </w:r>
      <w:r w:rsidR="009A50C4" w:rsidRPr="00935A60">
        <w:rPr>
          <w:rFonts w:ascii="Times New Roman" w:hAnsi="Times New Roman"/>
          <w:sz w:val="24"/>
          <w:szCs w:val="24"/>
        </w:rPr>
        <w:t xml:space="preserve"> </w:t>
      </w:r>
      <w:r w:rsidR="009A50C4" w:rsidRPr="00935A60">
        <w:rPr>
          <w:rFonts w:ascii="Times New Roman" w:hAnsi="Times New Roman"/>
          <w:b/>
          <w:sz w:val="24"/>
          <w:szCs w:val="24"/>
        </w:rPr>
        <w:t xml:space="preserve">v čase </w:t>
      </w:r>
      <w:r w:rsidR="009A50C4">
        <w:rPr>
          <w:rFonts w:ascii="Times New Roman" w:hAnsi="Times New Roman"/>
          <w:b/>
          <w:sz w:val="24"/>
          <w:szCs w:val="24"/>
        </w:rPr>
        <w:t>od 07:00 hod</w:t>
      </w:r>
      <w:r w:rsidR="009A50C4" w:rsidRPr="00935A60">
        <w:rPr>
          <w:rFonts w:ascii="Times New Roman" w:hAnsi="Times New Roman"/>
          <w:b/>
          <w:sz w:val="24"/>
          <w:szCs w:val="24"/>
        </w:rPr>
        <w:t xml:space="preserve"> do </w:t>
      </w:r>
      <w:r w:rsidR="009A50C4">
        <w:rPr>
          <w:rFonts w:ascii="Times New Roman" w:hAnsi="Times New Roman"/>
          <w:b/>
          <w:sz w:val="24"/>
          <w:szCs w:val="24"/>
        </w:rPr>
        <w:t>15</w:t>
      </w:r>
      <w:r w:rsidR="009A50C4" w:rsidRPr="00935A60">
        <w:rPr>
          <w:rFonts w:ascii="Times New Roman" w:hAnsi="Times New Roman"/>
          <w:b/>
          <w:sz w:val="24"/>
          <w:szCs w:val="24"/>
        </w:rPr>
        <w:t>:</w:t>
      </w:r>
      <w:r w:rsidR="009A50C4">
        <w:rPr>
          <w:rFonts w:ascii="Times New Roman" w:hAnsi="Times New Roman"/>
          <w:b/>
          <w:sz w:val="24"/>
          <w:szCs w:val="24"/>
        </w:rPr>
        <w:t>0</w:t>
      </w:r>
      <w:r w:rsidR="009A50C4" w:rsidRPr="00935A60">
        <w:rPr>
          <w:rFonts w:ascii="Times New Roman" w:hAnsi="Times New Roman"/>
          <w:b/>
          <w:sz w:val="24"/>
          <w:szCs w:val="24"/>
        </w:rPr>
        <w:t>0 hod</w:t>
      </w:r>
      <w:r w:rsidR="009A50C4">
        <w:rPr>
          <w:rFonts w:ascii="Times New Roman" w:hAnsi="Times New Roman"/>
          <w:b/>
          <w:sz w:val="24"/>
          <w:szCs w:val="24"/>
        </w:rPr>
        <w:t>.</w:t>
      </w:r>
      <w:r w:rsidR="009A50C4"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9A50C4">
        <w:rPr>
          <w:rFonts w:ascii="Times New Roman" w:hAnsi="Times New Roman"/>
          <w:sz w:val="24"/>
        </w:rPr>
        <w:t xml:space="preserve">telefonických, e-mailových </w:t>
      </w:r>
      <w:r w:rsidR="00B12895" w:rsidRPr="009A50C4">
        <w:rPr>
          <w:rFonts w:ascii="Times New Roman" w:hAnsi="Times New Roman"/>
          <w:sz w:val="24"/>
        </w:rPr>
        <w:t xml:space="preserve">alebo písomných </w:t>
      </w:r>
      <w:r w:rsidR="00AD60D0" w:rsidRPr="009A50C4">
        <w:rPr>
          <w:rFonts w:ascii="Times New Roman" w:hAnsi="Times New Roman"/>
          <w:sz w:val="24"/>
        </w:rPr>
        <w:t>čiastkových objednávok kupujúceho, ktor</w:t>
      </w:r>
      <w:r w:rsidR="00AD60D0" w:rsidRPr="00AD60D0">
        <w:rPr>
          <w:rFonts w:ascii="Times New Roman" w:hAnsi="Times New Roman"/>
          <w:sz w:val="24"/>
        </w:rPr>
        <w:t>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 xml:space="preserve">V prípade </w:t>
      </w:r>
      <w:r w:rsidRPr="007D3845">
        <w:rPr>
          <w:rFonts w:ascii="Times New Roman" w:hAnsi="Times New Roman"/>
          <w:sz w:val="24"/>
        </w:rPr>
        <w:lastRenderedPageBreak/>
        <w:t>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tovaru, ktorý má byť predmetom zamýšľanej objednávky na dodanie tovaru. Kupujúci bude </w:t>
      </w:r>
      <w:r w:rsidRPr="007454C3">
        <w:rPr>
          <w:rFonts w:ascii="Times New Roman" w:hAnsi="Times New Roman"/>
          <w:sz w:val="24"/>
        </w:rPr>
        <w:lastRenderedPageBreak/>
        <w:t>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866F0D" w:rsidRPr="00E30BE3" w:rsidRDefault="00866F0D" w:rsidP="00866F0D">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bookmarkStart w:id="0" w:name="_GoBack"/>
      <w:bookmarkEnd w:id="0"/>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Časť 2.  Mrazené a chladené potraviny</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jc w:val="both"/>
        <w:rPr>
          <w:rFonts w:ascii="Times New Roman" w:hAnsi="Times New Roman"/>
          <w:szCs w:val="22"/>
        </w:rPr>
      </w:pPr>
      <w:r w:rsidRPr="00557F21">
        <w:rPr>
          <w:rFonts w:ascii="Times New Roman" w:hAnsi="Times New Roman"/>
          <w:szCs w:val="22"/>
        </w:rPr>
        <w:t>Predmetom zákazky je nákup mrazených výrobkov a chladených potravín, dodanie tovaru do miesta dodania a vyloženie tovaru v mieste dodania v súlade s príslušnými legislatívnymi a hygienickými predpismi. Bližší opis predmetu zákazky je uvedený v nižšie uvedenej tabuľke pri jednotlivých položkách</w:t>
      </w:r>
      <w:r w:rsidRPr="00557F21">
        <w:rPr>
          <w:rFonts w:ascii="Times New Roman" w:hAnsi="Times New Roman"/>
          <w:color w:val="000000"/>
          <w:szCs w:val="22"/>
        </w:rPr>
        <w:t>.</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Osobitné požiadavky na plnenie</w:t>
      </w:r>
    </w:p>
    <w:p w:rsidR="00557F21" w:rsidRPr="00557F21" w:rsidRDefault="00557F21" w:rsidP="00557F21">
      <w:pPr>
        <w:spacing w:line="276" w:lineRule="auto"/>
        <w:jc w:val="both"/>
        <w:rPr>
          <w:rFonts w:ascii="Times New Roman" w:hAnsi="Times New Roman"/>
          <w:szCs w:val="22"/>
          <w:shd w:val="clear" w:color="auto" w:fill="F9F9F9"/>
        </w:rPr>
      </w:pPr>
      <w:r w:rsidRPr="00557F21">
        <w:rPr>
          <w:rFonts w:ascii="Times New Roman" w:hAnsi="Times New Roman"/>
          <w:szCs w:val="22"/>
        </w:rPr>
        <w:t>Množstvá  sú určené podľa súčasného počtu stravníkov a nie sú pre obstarávateľa záväzné, nakoľko sa ich počet počas zmluvného vzťahu môže zmeniť</w:t>
      </w:r>
      <w:r w:rsidRPr="00557F21">
        <w:rPr>
          <w:rFonts w:ascii="Times New Roman" w:hAnsi="Times New Roman"/>
          <w:szCs w:val="22"/>
          <w:shd w:val="clear" w:color="auto" w:fill="F9F9F9"/>
        </w:rPr>
        <w:t xml:space="preserve">. </w:t>
      </w:r>
    </w:p>
    <w:p w:rsidR="00557F21" w:rsidRPr="00557F21" w:rsidRDefault="00557F21" w:rsidP="00557F21">
      <w:pPr>
        <w:spacing w:line="276" w:lineRule="auto"/>
        <w:jc w:val="both"/>
        <w:rPr>
          <w:rFonts w:ascii="Times New Roman" w:hAnsi="Times New Roman"/>
          <w:b/>
          <w:szCs w:val="22"/>
        </w:rPr>
      </w:pPr>
      <w:r w:rsidRPr="00557F21">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557F21">
        <w:rPr>
          <w:rFonts w:ascii="Times New Roman" w:hAnsi="Times New Roman"/>
          <w:szCs w:val="22"/>
          <w:shd w:val="clear" w:color="auto" w:fill="F9F9F9"/>
        </w:rPr>
        <w:t>.</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Kvalita mrazeného tovaru musí držať tvar, farbu a produkty sa nesmú rozvárať. Pri rozmrazení zamrazených výrobkov rýb je prípustný rozdiel medzi skutočnou hmotnosťou a na tovare uvádzanou hmotnosťou max. do 5%.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557F21">
        <w:rPr>
          <w:rFonts w:ascii="Times New Roman" w:hAnsi="Times New Roman"/>
        </w:rPr>
        <w:t>Z.z</w:t>
      </w:r>
      <w:proofErr w:type="spellEnd"/>
      <w:r w:rsidRPr="00557F21">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557F21">
        <w:rPr>
          <w:rFonts w:ascii="Times New Roman" w:hAnsi="Times New Roman"/>
        </w:rPr>
        <w:t>Z.z</w:t>
      </w:r>
      <w:proofErr w:type="spellEnd"/>
      <w:r w:rsidRPr="00557F21">
        <w:rPr>
          <w:rFonts w:ascii="Times New Roman" w:hAnsi="Times New Roman"/>
        </w:rPr>
        <w:t xml:space="preserve">. a Zákonom č.152/1995 </w:t>
      </w:r>
      <w:proofErr w:type="spellStart"/>
      <w:r w:rsidRPr="00557F21">
        <w:rPr>
          <w:rFonts w:ascii="Times New Roman" w:hAnsi="Times New Roman"/>
        </w:rPr>
        <w:t>Z.z</w:t>
      </w:r>
      <w:proofErr w:type="spellEnd"/>
      <w:r w:rsidRPr="00557F21">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w:t>
      </w:r>
      <w:r w:rsidRPr="00557F21">
        <w:rPr>
          <w:rFonts w:ascii="Times New Roman" w:hAnsi="Times New Roman"/>
        </w:rPr>
        <w:lastRenderedPageBreak/>
        <w:t xml:space="preserve">vydaný príslušným orgánom členského štátu Európskej Únie, v kvalite podľa technických podmienok prevozu potravín podliehajúcich rýchlej skaze v súlade s Potravinovým kódexom SR.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Termín plnenia je dohodnutý priebežne po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Termín plnenia je dohodnutý priebežne po dobu platnosti rámcovej dohody. Termín plnenia jednotlivých čiastkových dodávok tovaru je dohodnutý </w:t>
      </w:r>
      <w:r w:rsidRPr="00557F21">
        <w:rPr>
          <w:rFonts w:ascii="Times New Roman" w:hAnsi="Times New Roman"/>
          <w:b/>
          <w:color w:val="000000"/>
        </w:rPr>
        <w:t>jeden krát týždenne</w:t>
      </w:r>
      <w:r w:rsidRPr="00557F21">
        <w:rPr>
          <w:rFonts w:ascii="Times New Roman" w:hAnsi="Times New Roman"/>
        </w:rPr>
        <w:t>. (podľa dohody so zástupcom verejného obstarávateľa), s lehotou plnenia najviac 12 hodín od doručenia záväznej telefonickej alebo písomnej objednávky verejného obstarávateľa, po celú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Dovoz tovaru musí byť  </w:t>
      </w:r>
      <w:r w:rsidRPr="00557F21">
        <w:rPr>
          <w:rFonts w:ascii="Times New Roman" w:hAnsi="Times New Roman"/>
          <w:b/>
        </w:rPr>
        <w:t>v čase  od 7:00 hod. do 15:00 hod</w:t>
      </w:r>
      <w:r w:rsidRPr="00557F21">
        <w:rPr>
          <w:rFonts w:ascii="Times New Roman" w:hAnsi="Times New Roman"/>
        </w:rPr>
        <w:t>.</w:t>
      </w:r>
    </w:p>
    <w:p w:rsidR="00557F21" w:rsidRDefault="00557F21" w:rsidP="00557F21">
      <w:pPr>
        <w:pStyle w:val="Normlnysodsekom"/>
      </w:pPr>
    </w:p>
    <w:p w:rsidR="00C26CAB" w:rsidRDefault="00C26CAB" w:rsidP="00C26CAB">
      <w:pPr>
        <w:jc w:val="both"/>
        <w:rPr>
          <w:rFonts w:asciiTheme="minorHAnsi" w:hAnsiTheme="minorHAnsi"/>
          <w:sz w:val="20"/>
          <w:szCs w:val="20"/>
        </w:rPr>
      </w:pPr>
    </w:p>
    <w:tbl>
      <w:tblPr>
        <w:tblW w:w="9300" w:type="dxa"/>
        <w:tblCellMar>
          <w:left w:w="70" w:type="dxa"/>
          <w:right w:w="70" w:type="dxa"/>
        </w:tblCellMar>
        <w:tblLook w:val="04A0" w:firstRow="1" w:lastRow="0" w:firstColumn="1" w:lastColumn="0" w:noHBand="0" w:noVBand="1"/>
      </w:tblPr>
      <w:tblGrid>
        <w:gridCol w:w="581"/>
        <w:gridCol w:w="6880"/>
        <w:gridCol w:w="680"/>
        <w:gridCol w:w="1160"/>
      </w:tblGrid>
      <w:tr w:rsidR="00C26CAB"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C26CAB" w:rsidRPr="00AE1A4C" w:rsidRDefault="00C26CAB"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Pol.č</w:t>
            </w:r>
            <w:proofErr w:type="spellEnd"/>
            <w:r w:rsidRPr="00AE1A4C">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C26CAB" w:rsidRPr="00AE1A4C" w:rsidRDefault="00C26CAB"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Predpokl</w:t>
            </w:r>
            <w:proofErr w:type="spellEnd"/>
            <w:r w:rsidRPr="00AE1A4C">
              <w:rPr>
                <w:rFonts w:ascii="Calibri" w:hAnsi="Calibri" w:cs="Calibri"/>
                <w:color w:val="000000"/>
                <w:sz w:val="20"/>
                <w:szCs w:val="20"/>
              </w:rPr>
              <w:t>. množstvo</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zemiakové lokše </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2 500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palacinky </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5 000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lístkové cesto, 400g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kuracia rolka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obaľovaná treska s brokolicou a so syrom</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zemiakové </w:t>
            </w:r>
            <w:proofErr w:type="spellStart"/>
            <w:r w:rsidRPr="00AE1A4C">
              <w:rPr>
                <w:rFonts w:ascii="Calibri" w:hAnsi="Calibri" w:cs="Calibri"/>
                <w:color w:val="000000"/>
                <w:szCs w:val="22"/>
              </w:rPr>
              <w:t>hranolky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nil"/>
              <w:right w:val="nil"/>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zemiakové vlnky</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šúľance</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400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pirohy tvarohové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pirohy lekvárové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pirohy bryndzové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knedlíčky</w:t>
            </w:r>
            <w:proofErr w:type="spellEnd"/>
            <w:r w:rsidRPr="00AE1A4C">
              <w:rPr>
                <w:rFonts w:ascii="Calibri" w:hAnsi="Calibri" w:cs="Calibri"/>
                <w:color w:val="000000"/>
                <w:szCs w:val="22"/>
              </w:rPr>
              <w:t xml:space="preserve"> jahodové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knedlíčky</w:t>
            </w:r>
            <w:proofErr w:type="spellEnd"/>
            <w:r w:rsidRPr="00AE1A4C">
              <w:rPr>
                <w:rFonts w:ascii="Calibri" w:hAnsi="Calibri" w:cs="Calibri"/>
                <w:color w:val="000000"/>
                <w:szCs w:val="22"/>
              </w:rPr>
              <w:t xml:space="preserve"> nugátové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knedlíčky</w:t>
            </w:r>
            <w:proofErr w:type="spellEnd"/>
            <w:r w:rsidRPr="00AE1A4C">
              <w:rPr>
                <w:rFonts w:ascii="Calibri" w:hAnsi="Calibri" w:cs="Calibri"/>
                <w:color w:val="000000"/>
                <w:szCs w:val="22"/>
              </w:rPr>
              <w:t xml:space="preserve"> slivkové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knedlíčky</w:t>
            </w:r>
            <w:proofErr w:type="spellEnd"/>
            <w:r w:rsidRPr="00AE1A4C">
              <w:rPr>
                <w:rFonts w:ascii="Calibri" w:hAnsi="Calibri" w:cs="Calibri"/>
                <w:color w:val="000000"/>
                <w:szCs w:val="22"/>
              </w:rPr>
              <w:t xml:space="preserve"> čučoriedkové</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knedlíčky</w:t>
            </w:r>
            <w:proofErr w:type="spellEnd"/>
            <w:r w:rsidRPr="00AE1A4C">
              <w:rPr>
                <w:rFonts w:ascii="Calibri" w:hAnsi="Calibri" w:cs="Calibri"/>
                <w:color w:val="000000"/>
                <w:szCs w:val="22"/>
              </w:rPr>
              <w:t xml:space="preserve"> plnené údeným mäsom</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60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brokolica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Mrazený špenát</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160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Mrazený karfiol</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300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Mrazený kel</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Mrazený pór</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Mrazené </w:t>
            </w:r>
            <w:proofErr w:type="spellStart"/>
            <w:r w:rsidRPr="00AE1A4C">
              <w:rPr>
                <w:rFonts w:ascii="Calibri" w:hAnsi="Calibri" w:cs="Calibri"/>
                <w:color w:val="000000"/>
                <w:szCs w:val="22"/>
              </w:rPr>
              <w:t>šmpiňóny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tekvica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Mrazený hrášok</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fazuľka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mrkva "baby"</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lečo</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80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zelenina polievková</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Mrazená zelenina </w:t>
            </w:r>
            <w:proofErr w:type="spellStart"/>
            <w:r w:rsidRPr="00AE1A4C">
              <w:rPr>
                <w:rFonts w:ascii="Calibri" w:hAnsi="Calibri" w:cs="Calibri"/>
                <w:color w:val="000000"/>
                <w:szCs w:val="22"/>
              </w:rPr>
              <w:t>bretánska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30</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Mrazená zelenina </w:t>
            </w:r>
            <w:proofErr w:type="spellStart"/>
            <w:r w:rsidRPr="00AE1A4C">
              <w:rPr>
                <w:rFonts w:ascii="Calibri" w:hAnsi="Calibri" w:cs="Calibri"/>
                <w:color w:val="000000"/>
                <w:szCs w:val="22"/>
              </w:rPr>
              <w:t>Wok</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zeleninová zmes kúpeľná</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zeleninová zmes južná</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zeleninová zmes mochovská</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zeleninová zmes s brokolicou</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zeleninová zmes čínska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petržlenová vňať</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pažítka</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jahody</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Mrazené maliny</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Mrazená lesná zmes</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Nanuk </w:t>
            </w:r>
            <w:proofErr w:type="spellStart"/>
            <w:r w:rsidRPr="00AE1A4C">
              <w:rPr>
                <w:rFonts w:ascii="Calibri" w:hAnsi="Calibri" w:cs="Calibri"/>
                <w:color w:val="000000"/>
                <w:szCs w:val="22"/>
              </w:rPr>
              <w:t>pegas</w:t>
            </w:r>
            <w:proofErr w:type="spellEnd"/>
            <w:r w:rsidRPr="00AE1A4C">
              <w:rPr>
                <w:rFonts w:ascii="Calibri" w:hAnsi="Calibri" w:cs="Calibri"/>
                <w:color w:val="000000"/>
                <w:szCs w:val="22"/>
              </w:rPr>
              <w:t xml:space="preserve"> 100ml </w:t>
            </w:r>
            <w:proofErr w:type="spellStart"/>
            <w:r w:rsidRPr="00AE1A4C">
              <w:rPr>
                <w:rFonts w:ascii="Calibri" w:hAnsi="Calibri" w:cs="Calibri"/>
                <w:color w:val="000000"/>
                <w:szCs w:val="22"/>
              </w:rPr>
              <w:t>premium</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white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1 000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Nanuk </w:t>
            </w:r>
            <w:proofErr w:type="spellStart"/>
            <w:r w:rsidRPr="00AE1A4C">
              <w:rPr>
                <w:rFonts w:ascii="Calibri" w:hAnsi="Calibri" w:cs="Calibri"/>
                <w:color w:val="000000"/>
                <w:szCs w:val="22"/>
              </w:rPr>
              <w:t>pribináček</w:t>
            </w:r>
            <w:proofErr w:type="spellEnd"/>
            <w:r w:rsidRPr="00AE1A4C">
              <w:rPr>
                <w:rFonts w:ascii="Calibri" w:hAnsi="Calibri" w:cs="Calibri"/>
                <w:color w:val="000000"/>
                <w:szCs w:val="22"/>
              </w:rPr>
              <w:t xml:space="preserve"> 50 ml</w:t>
            </w:r>
          </w:p>
        </w:tc>
        <w:tc>
          <w:tcPr>
            <w:tcW w:w="6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Nanuk </w:t>
            </w:r>
            <w:proofErr w:type="spellStart"/>
            <w:r w:rsidRPr="00AE1A4C">
              <w:rPr>
                <w:rFonts w:ascii="Calibri" w:hAnsi="Calibri" w:cs="Calibri"/>
                <w:color w:val="000000"/>
                <w:szCs w:val="22"/>
              </w:rPr>
              <w:t>pegas</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strawberry</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 xml:space="preserve">ks </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Nanuk smotanový jarka 45 ml</w:t>
            </w:r>
          </w:p>
        </w:tc>
        <w:tc>
          <w:tcPr>
            <w:tcW w:w="6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Nanuk </w:t>
            </w:r>
            <w:proofErr w:type="spellStart"/>
            <w:r w:rsidRPr="00AE1A4C">
              <w:rPr>
                <w:rFonts w:ascii="Calibri" w:hAnsi="Calibri" w:cs="Calibri"/>
                <w:color w:val="000000"/>
                <w:szCs w:val="22"/>
              </w:rPr>
              <w:t>smtanový</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gulliver</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classic,white</w:t>
            </w:r>
            <w:proofErr w:type="spellEnd"/>
            <w:r w:rsidRPr="00AE1A4C">
              <w:rPr>
                <w:rFonts w:ascii="Calibri" w:hAnsi="Calibri" w:cs="Calibri"/>
                <w:color w:val="000000"/>
                <w:szCs w:val="22"/>
              </w:rPr>
              <w:t xml:space="preserve"> 120ml</w:t>
            </w:r>
          </w:p>
        </w:tc>
        <w:tc>
          <w:tcPr>
            <w:tcW w:w="6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Mrazená tekvica </w:t>
            </w:r>
            <w:proofErr w:type="spellStart"/>
            <w:r w:rsidRPr="00AE1A4C">
              <w:rPr>
                <w:rFonts w:ascii="Calibri" w:hAnsi="Calibri" w:cs="Calibri"/>
                <w:color w:val="000000"/>
                <w:szCs w:val="22"/>
              </w:rPr>
              <w:t>hokkaido</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Lahôdkový šalát s kukuricou</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30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Vlašský šalát </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Parížsky šalát </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100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Parížsky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300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Holandský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Pochúťkový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Treska v majonéze</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50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Treska v majonéze, 140 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300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 xml:space="preserve">Kyslé rybky - ruské sardinky </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30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Lahôdkové zavináče, 230g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200</w:t>
            </w:r>
          </w:p>
        </w:tc>
      </w:tr>
      <w:tr w:rsidR="00C26CAB"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C26CAB" w:rsidRPr="00AE1A4C" w:rsidRDefault="00C26CAB" w:rsidP="002965E9">
            <w:pPr>
              <w:jc w:val="center"/>
              <w:rPr>
                <w:rFonts w:ascii="Calibri" w:hAnsi="Calibri" w:cs="Calibri"/>
                <w:color w:val="000000"/>
                <w:sz w:val="20"/>
                <w:szCs w:val="20"/>
              </w:rPr>
            </w:pPr>
            <w:r w:rsidRPr="00AE1A4C">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C26CAB" w:rsidRPr="00AE1A4C" w:rsidRDefault="00C26CAB" w:rsidP="002965E9">
            <w:pPr>
              <w:rPr>
                <w:rFonts w:ascii="Calibri" w:hAnsi="Calibri" w:cs="Calibri"/>
                <w:color w:val="000000"/>
                <w:szCs w:val="22"/>
              </w:rPr>
            </w:pPr>
            <w:r w:rsidRPr="00AE1A4C">
              <w:rPr>
                <w:rFonts w:ascii="Calibri" w:hAnsi="Calibri" w:cs="Calibri"/>
                <w:color w:val="000000"/>
                <w:szCs w:val="22"/>
              </w:rPr>
              <w:t>Ruské sardinky, 230 g</w:t>
            </w:r>
          </w:p>
        </w:tc>
        <w:tc>
          <w:tcPr>
            <w:tcW w:w="68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C26CAB" w:rsidRPr="00AE1A4C" w:rsidRDefault="00C26CAB" w:rsidP="002965E9">
            <w:pPr>
              <w:jc w:val="center"/>
              <w:rPr>
                <w:rFonts w:ascii="Calibri" w:hAnsi="Calibri" w:cs="Calibri"/>
                <w:color w:val="000000"/>
                <w:szCs w:val="22"/>
              </w:rPr>
            </w:pPr>
            <w:r w:rsidRPr="00AE1A4C">
              <w:rPr>
                <w:rFonts w:ascii="Calibri" w:hAnsi="Calibri" w:cs="Calibri"/>
                <w:color w:val="000000"/>
                <w:szCs w:val="22"/>
              </w:rPr>
              <w:t>200</w:t>
            </w:r>
          </w:p>
        </w:tc>
      </w:tr>
    </w:tbl>
    <w:p w:rsidR="00C26CAB" w:rsidRDefault="00C26CAB" w:rsidP="00C26CAB">
      <w:pPr>
        <w:jc w:val="both"/>
        <w:rPr>
          <w:rFonts w:asciiTheme="minorHAnsi" w:hAnsiTheme="minorHAnsi"/>
          <w:sz w:val="20"/>
          <w:szCs w:val="20"/>
        </w:rPr>
      </w:pPr>
    </w:p>
    <w:p w:rsidR="00C26CAB" w:rsidRDefault="00C26CAB" w:rsidP="00C26CAB">
      <w:pPr>
        <w:jc w:val="both"/>
        <w:rPr>
          <w:rFonts w:asciiTheme="minorHAnsi" w:hAnsiTheme="minorHAnsi"/>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lastRenderedPageBreak/>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46" w:rsidRDefault="00537E46" w:rsidP="00FB05E8">
      <w:r>
        <w:separator/>
      </w:r>
    </w:p>
  </w:endnote>
  <w:endnote w:type="continuationSeparator" w:id="0">
    <w:p w:rsidR="00537E46" w:rsidRDefault="00537E46"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866F0D">
          <w:rPr>
            <w:rFonts w:ascii="Times New Roman" w:hAnsi="Times New Roman"/>
            <w:noProof/>
          </w:rPr>
          <w:t>8</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46" w:rsidRDefault="00537E46" w:rsidP="00FB05E8">
      <w:r>
        <w:separator/>
      </w:r>
    </w:p>
  </w:footnote>
  <w:footnote w:type="continuationSeparator" w:id="0">
    <w:p w:rsidR="00537E46" w:rsidRDefault="00537E46"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62DC8"/>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6C9C"/>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1F3F"/>
    <w:rsid w:val="005076B4"/>
    <w:rsid w:val="005120CD"/>
    <w:rsid w:val="005138C4"/>
    <w:rsid w:val="00520847"/>
    <w:rsid w:val="0053177F"/>
    <w:rsid w:val="00534FC6"/>
    <w:rsid w:val="00535C5D"/>
    <w:rsid w:val="00537E46"/>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58C6"/>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65282"/>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66F0D"/>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14666"/>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A50C4"/>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26CAB"/>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A32E-CE70-46E1-9E1D-F7EB34AA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5532</Words>
  <Characters>31538</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9</cp:revision>
  <cp:lastPrinted>2019-12-13T08:26:00Z</cp:lastPrinted>
  <dcterms:created xsi:type="dcterms:W3CDTF">2022-08-24T08:14:00Z</dcterms:created>
  <dcterms:modified xsi:type="dcterms:W3CDTF">2023-09-24T09:30:00Z</dcterms:modified>
</cp:coreProperties>
</file>