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52268A17" w:rsidR="00785BCA" w:rsidRPr="00BE5BF7" w:rsidRDefault="009C6C80" w:rsidP="00785BCA">
      <w:pPr>
        <w:jc w:val="center"/>
      </w:pPr>
      <w:r w:rsidRPr="009C6C80">
        <w:t>MAGS OVO:</w:t>
      </w:r>
      <w:r>
        <w:t xml:space="preserve"> </w:t>
      </w:r>
      <w:r w:rsidR="00F47B2A">
        <w:t>52211/2019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670E0B17" w:rsidR="00D37876" w:rsidRDefault="00D37876" w:rsidP="00D37876">
      <w:pPr>
        <w:jc w:val="center"/>
      </w:pPr>
      <w:r>
        <w:rPr>
          <w:sz w:val="24"/>
          <w:szCs w:val="24"/>
        </w:rPr>
        <w:t>Energeticky efektívna rekonštrukcia budov Hl. mesta SR Bratislavy s využitím garantovanej energetickej služby – balík GES 02</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DF0F66B" w:rsidR="006A05E3" w:rsidRPr="007F32AF" w:rsidRDefault="00CC3C5F" w:rsidP="006A05E3">
            <w:pPr>
              <w:jc w:val="right"/>
            </w:pPr>
            <w:r>
              <w:t>Tomáš Heriban</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2EE9C9"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83102">
        <w:t xml:space="preserve"> 27.08.2019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55397E">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55397E">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55397E">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55397E">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55397E">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55397E">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55397E">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55397E">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55397E">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55397E">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55397E">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55397E">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55397E">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55397E">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55397E">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55397E">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2181B50E" w:rsidR="00856459" w:rsidRPr="00BE5BF7" w:rsidRDefault="0055397E">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80B9B47" w:rsidR="00856459" w:rsidRPr="00BE5BF7" w:rsidRDefault="0055397E">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55397E">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55397E">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4050A751" w:rsidR="00856459" w:rsidRPr="00BE5BF7" w:rsidRDefault="0055397E">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55397E">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55397E">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55397E">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55397E">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55397E">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55397E">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55397E">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55397E">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55397E">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55397E">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55397E">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55397E">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55397E">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55397E">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55397E">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55397E">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55397E">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55397E">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55397E">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55397E">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55397E">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55397E">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55397E">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712FB4ED" w:rsidR="00856459" w:rsidRPr="00BE5BF7" w:rsidRDefault="0055397E">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4E3CD485" w:rsidR="00856459" w:rsidRPr="00BE5BF7" w:rsidRDefault="0055397E">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0EB1C5DD" w:rsidR="00856459" w:rsidRPr="00BE5BF7" w:rsidRDefault="0055397E">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55007711" w:rsidR="00856459" w:rsidRPr="00BE5BF7" w:rsidRDefault="0055397E">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0DE4A178" w:rsidR="00856459" w:rsidRPr="00BE5BF7" w:rsidRDefault="0055397E">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1713275A" w:rsidR="00856459" w:rsidRPr="00BE5BF7" w:rsidRDefault="0055397E">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54D9685C" w:rsidR="00856459" w:rsidRPr="00BE5BF7" w:rsidRDefault="0055397E">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338561E5" w:rsidR="00856459" w:rsidRPr="00BE5BF7" w:rsidRDefault="0055397E">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1F096B2E" w:rsidR="00856459" w:rsidRPr="00BE5BF7" w:rsidRDefault="0055397E">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7618725" w:rsidR="00856459" w:rsidRPr="00BE5BF7" w:rsidRDefault="0055397E">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038A8291" w:rsidR="00856459" w:rsidRPr="00BE5BF7" w:rsidRDefault="0055397E">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73BFAC45" w:rsidR="00856459" w:rsidRPr="00BE5BF7" w:rsidRDefault="0055397E">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1B40CABB" w:rsidR="00856459" w:rsidRPr="00BE5BF7" w:rsidRDefault="0055397E">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FAE1E8F" w:rsidR="00856459" w:rsidRPr="00BE5BF7" w:rsidRDefault="0055397E">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C2B80AD" w:rsidR="005C7431" w:rsidRPr="00BE5BF7" w:rsidRDefault="005C7431" w:rsidP="00F912BE">
      <w:pPr>
        <w:pStyle w:val="Nadpis7"/>
      </w:pPr>
      <w:r w:rsidRPr="00BE5BF7">
        <w:t xml:space="preserve">Obdobie príprav: maximálne </w:t>
      </w:r>
      <w:r w:rsidR="00AF30F3">
        <w:rPr>
          <w:rFonts w:eastAsiaTheme="minorHAnsi" w:cs="Arial"/>
          <w:szCs w:val="20"/>
        </w:rPr>
        <w:t>12</w:t>
      </w:r>
      <w:r w:rsidR="00F4442E" w:rsidRPr="00BE5BF7">
        <w:rPr>
          <w:rFonts w:eastAsiaTheme="minorHAnsi" w:cs="Arial"/>
          <w:szCs w:val="20"/>
        </w:rPr>
        <w:t xml:space="preserve"> </w:t>
      </w:r>
      <w:r w:rsidRPr="00BE5BF7">
        <w:t>mesiacov odo dňa nadobudnutia účinnosti zmluvy;</w:t>
      </w:r>
    </w:p>
    <w:p w14:paraId="1EC8415A" w14:textId="6F21667A"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w:t>
      </w:r>
      <w:r w:rsidR="00AF30F3">
        <w:rPr>
          <w:rFonts w:eastAsiaTheme="minorHAnsi" w:cs="Arial"/>
          <w:szCs w:val="20"/>
        </w:rPr>
        <w:t>8</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68E8AE1E" w:rsidR="00F912BE" w:rsidRPr="00BE5BF7" w:rsidRDefault="00EF7C45" w:rsidP="00EF7C45">
      <w:pPr>
        <w:pStyle w:val="Nadpis7"/>
      </w:pPr>
      <w:r w:rsidRPr="00BE5BF7">
        <w:t xml:space="preserve">Vyprojektovanie a dokončenie projektovej a ostatnej dokumentácie do </w:t>
      </w:r>
      <w:r w:rsidR="00AF30F3">
        <w:t>12</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1E0F3B4B"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562BF1">
        <w:t>27. 10. 2020.</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77777777"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t>14.4</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záujemcom, ktorí oň požiadali a svoju neúčasť na obhliadke stanovenej v pôvodnom termíne ospravedlnili a odôvodnili.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53133525" w:rsidR="006216D6" w:rsidRPr="00BE5BF7" w:rsidRDefault="006216D6" w:rsidP="0021692E">
      <w:pPr>
        <w:pStyle w:val="Nadpis4"/>
      </w:pPr>
      <w:bookmarkStart w:id="159" w:name="_Ref17286362"/>
      <w:bookmarkStart w:id="160" w:name="_Hlk17364029"/>
      <w:r w:rsidRPr="00BE5BF7">
        <w:t xml:space="preserve">Kontaktnou osobou na účely obhliadky je </w:t>
      </w:r>
      <w:r w:rsidR="00B27DB0" w:rsidRPr="00227267">
        <w:t xml:space="preserve">Ing. </w:t>
      </w:r>
      <w:r w:rsidR="00227267" w:rsidRPr="00227267">
        <w:t>Roman Čambala</w:t>
      </w:r>
      <w:r w:rsidR="00B27DB0" w:rsidRPr="00B27DB0">
        <w:t xml:space="preserve">, e-mail: </w:t>
      </w:r>
      <w:hyperlink r:id="rId14" w:history="1">
        <w:r w:rsidR="00227267" w:rsidRPr="00227267">
          <w:rPr>
            <w:rStyle w:val="Hypertextovprepojenie"/>
          </w:rPr>
          <w:t>roman.cambala@bratislava.sk</w:t>
        </w:r>
      </w:hyperlink>
      <w:r w:rsidR="00B27DB0" w:rsidRPr="00227267">
        <w:t>,</w:t>
      </w:r>
      <w:r w:rsidR="00EF20E5">
        <w:t xml:space="preserve"> </w:t>
      </w:r>
      <w:r w:rsidR="00EF20E5" w:rsidRPr="00227267">
        <w:t>tel. č.: 02/54432056.</w:t>
      </w:r>
      <w:bookmarkEnd w:id="159"/>
      <w:bookmarkEnd w:id="160"/>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1" w:name="_Toc12196230"/>
      <w:r w:rsidRPr="00BE5BF7">
        <w:t>Príprava ponuky</w:t>
      </w:r>
      <w:bookmarkEnd w:id="155"/>
      <w:bookmarkEnd w:id="156"/>
      <w:bookmarkEnd w:id="157"/>
      <w:bookmarkEnd w:id="158"/>
      <w:bookmarkEnd w:id="161"/>
    </w:p>
    <w:p w14:paraId="41235DAC" w14:textId="1D35FF10" w:rsidR="00B25D70" w:rsidRPr="00BE5BF7" w:rsidRDefault="00B25D70" w:rsidP="00D54716">
      <w:pPr>
        <w:pStyle w:val="Nadpis3"/>
      </w:pPr>
      <w:bookmarkStart w:id="162" w:name="_Toc444084950"/>
      <w:bookmarkStart w:id="163" w:name="_Toc4416620"/>
      <w:bookmarkStart w:id="164" w:name="_Toc4416914"/>
      <w:bookmarkStart w:id="165" w:name="_Toc4416963"/>
      <w:bookmarkStart w:id="166" w:name="_Toc12196231"/>
      <w:r w:rsidRPr="00BE5BF7">
        <w:t>Jazyk ponúk</w:t>
      </w:r>
      <w:bookmarkEnd w:id="162"/>
      <w:bookmarkEnd w:id="163"/>
      <w:bookmarkEnd w:id="164"/>
      <w:bookmarkEnd w:id="165"/>
      <w:bookmarkEnd w:id="166"/>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21692E">
      <w:pPr>
        <w:pStyle w:val="Nadpis4"/>
      </w:pPr>
      <w:r w:rsidRPr="00BE5BF7">
        <w:lastRenderedPageBreak/>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61726104" w:rsidR="00AB238B" w:rsidRPr="007D032D"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7D032D">
          <w:rPr>
            <w:rStyle w:val="Hypertextovprepojenie"/>
          </w:rPr>
          <w:t>40.000</w:t>
        </w:r>
      </w:hyperlink>
      <w:r w:rsidR="00B27DB0" w:rsidRPr="007D032D">
        <w:t xml:space="preserve"> EUR (slovom </w:t>
      </w:r>
      <w:hyperlink r:id="rId16" w:history="1">
        <w:r w:rsidR="00B27DB0" w:rsidRPr="007D032D">
          <w:rPr>
            <w:rStyle w:val="Hypertextovprepojenie"/>
          </w:rPr>
          <w:t>štyridsať</w:t>
        </w:r>
      </w:hyperlink>
      <w:r w:rsidR="00B27DB0" w:rsidRPr="007D032D">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67DD80E4"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w:t>
      </w:r>
      <w:r w:rsidR="00E73842">
        <w:t>27. 10. 2020</w:t>
      </w:r>
      <w:r w:rsidR="00BD4CE3">
        <w:rPr>
          <w:rFonts w:eastAsia="Times New Roman"/>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40DA6BD5"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A4121B">
        <w:rPr>
          <w:rFonts w:eastAsia="Times New Roman"/>
          <w:lang w:eastAsia="sk-SK"/>
        </w:rPr>
        <w:t xml:space="preserve"> 27. 10. 2020</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65D78758"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1A6F85">
        <w:rPr>
          <w:rFonts w:eastAsia="Times New Roman" w:cs="Arial"/>
          <w:szCs w:val="20"/>
          <w:lang w:eastAsia="sk-SK"/>
        </w:rPr>
        <w:t>2</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981D99D" w:rsidR="00D64850" w:rsidRPr="00BE5BF7" w:rsidRDefault="00D64850" w:rsidP="0021692E">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21692E">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w:t>
      </w:r>
      <w:r w:rsidRPr="00BE5BF7">
        <w:rPr>
          <w:rFonts w:cs="Arial"/>
          <w:color w:val="000000"/>
          <w:szCs w:val="20"/>
        </w:rPr>
        <w:lastRenderedPageBreak/>
        <w:t xml:space="preserve">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21692E">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2065605F"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02</w:t>
      </w:r>
      <w:r w:rsidRPr="00BE5BF7">
        <w:t>“.</w:t>
      </w:r>
    </w:p>
    <w:p w14:paraId="1025C80D" w14:textId="70F8B6FC" w:rsidR="00133B55" w:rsidRPr="00BE5BF7" w:rsidRDefault="00133B55" w:rsidP="0021692E">
      <w:pPr>
        <w:pStyle w:val="Nadpis4"/>
      </w:pPr>
      <w:bookmarkStart w:id="245" w:name="_Ref4423000"/>
      <w:r w:rsidRPr="00BE5BF7">
        <w:lastRenderedPageBreak/>
        <w:t xml:space="preserve">Lehota na predkladanie ponúk uplynie: </w:t>
      </w:r>
      <w:r w:rsidR="009330D9">
        <w:t xml:space="preserve">28. 10. 2019 </w:t>
      </w:r>
      <w:r w:rsidRPr="00BE5BF7">
        <w:t>o</w:t>
      </w:r>
      <w:r w:rsidR="007464FD">
        <w:t xml:space="preserve"> 09: 00 </w:t>
      </w:r>
      <w:r w:rsidRPr="00BE5BF7">
        <w:t>od. miestneho času.</w:t>
      </w:r>
      <w:bookmarkEnd w:id="245"/>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2"/>
    </w:p>
    <w:p w14:paraId="1D6972BB" w14:textId="59DF3102"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21692E">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47FCA6C5" w:rsidR="00454A07" w:rsidRPr="00BE5BF7" w:rsidRDefault="00454A07" w:rsidP="0021692E">
      <w:pPr>
        <w:pStyle w:val="Nadpis4"/>
      </w:pPr>
      <w:r w:rsidRPr="00BE5BF7">
        <w:t>Otváranie ponúk sa uskutoční dňa</w:t>
      </w:r>
      <w:r w:rsidR="007464FD">
        <w:t xml:space="preserve"> </w:t>
      </w:r>
      <w:r w:rsidR="00776DE9">
        <w:t xml:space="preserve">28. 10. 2019 </w:t>
      </w:r>
      <w:r w:rsidRPr="00BE5BF7">
        <w:t>o</w:t>
      </w:r>
      <w:r w:rsidR="007464FD">
        <w:t> </w:t>
      </w:r>
      <w:r w:rsidR="007464FD" w:rsidRPr="007464FD">
        <w:t>10:00</w:t>
      </w:r>
      <w:r w:rsidR="00487ADD" w:rsidRPr="00BE5BF7">
        <w:t xml:space="preserve"> </w:t>
      </w:r>
      <w:r w:rsidRPr="00BE5BF7">
        <w:t>hod. mie</w:t>
      </w:r>
      <w:bookmarkStart w:id="269" w:name="_GoBack"/>
      <w:bookmarkEnd w:id="269"/>
      <w:r w:rsidRPr="00BE5BF7">
        <w:t xml:space="preserv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70"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70"/>
    </w:p>
    <w:p w14:paraId="4325E6C3" w14:textId="67E247B2" w:rsidR="00EF2D37" w:rsidRPr="00BE5BF7" w:rsidRDefault="00EF2D37" w:rsidP="00D54716">
      <w:pPr>
        <w:pStyle w:val="Nadpis3"/>
      </w:pPr>
      <w:bookmarkStart w:id="271" w:name="_Toc4416631"/>
      <w:bookmarkStart w:id="272" w:name="_Toc4416925"/>
      <w:bookmarkStart w:id="273" w:name="_Toc4416974"/>
      <w:bookmarkStart w:id="274" w:name="_Ref4423141"/>
      <w:bookmarkStart w:id="275" w:name="_Ref4423334"/>
      <w:bookmarkStart w:id="276" w:name="_Ref4423373"/>
      <w:bookmarkStart w:id="277" w:name="_Toc12196242"/>
      <w:bookmarkStart w:id="278" w:name="_Toc444084960"/>
      <w:r w:rsidRPr="00BE5BF7">
        <w:t>Vyhodnotenie splnenia podmienok účasti, vysvetľovanie a vyhodnocovanie ponúk</w:t>
      </w:r>
      <w:bookmarkEnd w:id="271"/>
      <w:bookmarkEnd w:id="272"/>
      <w:bookmarkEnd w:id="273"/>
      <w:bookmarkEnd w:id="274"/>
      <w:bookmarkEnd w:id="275"/>
      <w:bookmarkEnd w:id="276"/>
      <w:bookmarkEnd w:id="277"/>
      <w:r w:rsidRPr="00BE5BF7">
        <w:t xml:space="preserve"> </w:t>
      </w:r>
      <w:bookmarkEnd w:id="278"/>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9" w:name="page15"/>
      <w:bookmarkEnd w:id="279"/>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lastRenderedPageBreak/>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80"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1" w:name="_Toc534377217"/>
      <w:bookmarkStart w:id="282" w:name="_Toc534377218"/>
      <w:bookmarkStart w:id="283" w:name="_Toc534377219"/>
      <w:bookmarkStart w:id="284" w:name="_Toc534377220"/>
      <w:bookmarkStart w:id="285" w:name="_Toc534377221"/>
      <w:bookmarkStart w:id="286" w:name="_Toc534377222"/>
      <w:bookmarkStart w:id="287" w:name="_Toc534377223"/>
      <w:bookmarkStart w:id="288" w:name="_Toc534377224"/>
      <w:bookmarkStart w:id="289" w:name="_Toc534377225"/>
      <w:bookmarkStart w:id="290" w:name="_Toc534377226"/>
      <w:bookmarkStart w:id="291" w:name="_Toc534377227"/>
      <w:bookmarkStart w:id="292" w:name="_Toc534377228"/>
      <w:bookmarkStart w:id="293" w:name="_Toc534377229"/>
      <w:bookmarkStart w:id="294" w:name="_Toc534377230"/>
      <w:bookmarkStart w:id="295" w:name="_Toc534377231"/>
      <w:bookmarkStart w:id="296" w:name="_Toc534377232"/>
      <w:bookmarkStart w:id="297" w:name="_Toc534377233"/>
      <w:bookmarkStart w:id="298" w:name="_Toc534377234"/>
      <w:bookmarkStart w:id="299" w:name="_Toc534377235"/>
      <w:bookmarkStart w:id="300" w:name="_Toc534377236"/>
      <w:bookmarkStart w:id="301" w:name="_Toc534377237"/>
      <w:bookmarkStart w:id="302" w:name="_Toc534377238"/>
      <w:bookmarkStart w:id="303" w:name="_Toc534377239"/>
      <w:bookmarkStart w:id="304" w:name="_Toc534377240"/>
      <w:bookmarkStart w:id="305" w:name="_Toc534377241"/>
      <w:bookmarkStart w:id="306" w:name="_Toc534377242"/>
      <w:bookmarkStart w:id="307" w:name="_Toc534377243"/>
      <w:bookmarkStart w:id="308" w:name="_Toc444084961"/>
      <w:bookmarkStart w:id="309" w:name="_Toc4416632"/>
      <w:bookmarkStart w:id="310" w:name="_Toc4416926"/>
      <w:bookmarkStart w:id="311" w:name="_Toc4416975"/>
      <w:bookmarkStart w:id="312" w:name="_Toc12196243"/>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BE5BF7">
        <w:t xml:space="preserve">Dôvernosť procesu </w:t>
      </w:r>
      <w:r w:rsidR="0035086C" w:rsidRPr="00BE5BF7">
        <w:t>Verejn</w:t>
      </w:r>
      <w:r w:rsidRPr="00BE5BF7">
        <w:t>ého obstarávania</w:t>
      </w:r>
      <w:bookmarkEnd w:id="308"/>
      <w:bookmarkEnd w:id="309"/>
      <w:bookmarkEnd w:id="310"/>
      <w:bookmarkEnd w:id="311"/>
      <w:bookmarkEnd w:id="312"/>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3" w:name="_Ref4422446"/>
      <w:r w:rsidRPr="00BE5BF7">
        <w:t>Obchodné tajomstvo a informácie, ktoré uchádzač v ponuke označí za dôverné, nebudú zverejnené alebo inak použité bez predchádzajúceho súhlasu uchádzača, pokiaľ:</w:t>
      </w:r>
      <w:bookmarkEnd w:id="313"/>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4" w:name="_Toc444084963"/>
      <w:bookmarkStart w:id="315" w:name="_Toc444084964"/>
      <w:bookmarkStart w:id="316" w:name="_Toc444084965"/>
      <w:bookmarkStart w:id="317" w:name="_Toc444084969"/>
      <w:bookmarkStart w:id="318" w:name="_Toc4416501"/>
      <w:bookmarkStart w:id="319" w:name="_Toc4416633"/>
      <w:bookmarkStart w:id="320" w:name="_Toc4416927"/>
      <w:bookmarkStart w:id="321" w:name="_Toc4416976"/>
      <w:bookmarkStart w:id="322" w:name="_Toc12196244"/>
      <w:bookmarkEnd w:id="314"/>
      <w:bookmarkEnd w:id="315"/>
      <w:bookmarkEnd w:id="316"/>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7"/>
      <w:bookmarkEnd w:id="318"/>
      <w:bookmarkEnd w:id="319"/>
      <w:bookmarkEnd w:id="320"/>
      <w:bookmarkEnd w:id="321"/>
      <w:bookmarkEnd w:id="322"/>
    </w:p>
    <w:p w14:paraId="2E70C48D" w14:textId="2B4C53A1" w:rsidR="00253181" w:rsidRPr="00BE5BF7" w:rsidRDefault="00253181" w:rsidP="00D54716">
      <w:pPr>
        <w:pStyle w:val="Nadpis3"/>
      </w:pPr>
      <w:bookmarkStart w:id="323" w:name="_Toc444084970"/>
      <w:bookmarkStart w:id="324" w:name="_Toc4416634"/>
      <w:bookmarkStart w:id="325" w:name="_Toc4416928"/>
      <w:bookmarkStart w:id="326" w:name="_Toc4416977"/>
      <w:bookmarkStart w:id="327" w:name="_Toc12196245"/>
      <w:r w:rsidRPr="00BE5BF7">
        <w:t>Vyhodnotenie splnenia podmienok účasti úspešného uchádzača a informácia o výsledku hodnotenia ponúk</w:t>
      </w:r>
      <w:bookmarkEnd w:id="323"/>
      <w:bookmarkEnd w:id="324"/>
      <w:bookmarkEnd w:id="325"/>
      <w:bookmarkEnd w:id="326"/>
      <w:bookmarkEnd w:id="327"/>
    </w:p>
    <w:p w14:paraId="63E6CA8D" w14:textId="4A48B10D" w:rsidR="00851C8C" w:rsidRPr="00BE5BF7" w:rsidRDefault="00851C8C" w:rsidP="0021692E">
      <w:pPr>
        <w:pStyle w:val="Nadpis4"/>
      </w:pPr>
      <w:bookmarkStart w:id="328" w:name="_Toc444084971"/>
      <w:bookmarkStart w:id="329" w:name="_Toc4416635"/>
      <w:bookmarkStart w:id="330" w:name="_Toc4416929"/>
      <w:bookmarkStart w:id="331" w:name="_Toc4416978"/>
      <w:bookmarkStart w:id="332"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3" w:name="_Toc12196246"/>
      <w:r w:rsidRPr="00BE5BF7">
        <w:lastRenderedPageBreak/>
        <w:t xml:space="preserve">Uzavretie </w:t>
      </w:r>
      <w:r w:rsidR="00437C48" w:rsidRPr="00BE5BF7">
        <w:t>z</w:t>
      </w:r>
      <w:r w:rsidR="00876192" w:rsidRPr="00BE5BF7">
        <w:t>mluv</w:t>
      </w:r>
      <w:r w:rsidRPr="00BE5BF7">
        <w:t>y</w:t>
      </w:r>
      <w:bookmarkEnd w:id="328"/>
      <w:bookmarkEnd w:id="329"/>
      <w:bookmarkEnd w:id="330"/>
      <w:bookmarkEnd w:id="331"/>
      <w:bookmarkEnd w:id="332"/>
      <w:bookmarkEnd w:id="333"/>
    </w:p>
    <w:p w14:paraId="3B87E945" w14:textId="72DBFD74" w:rsidR="00385E44" w:rsidRPr="00BE5BF7" w:rsidRDefault="00385E44" w:rsidP="0021692E">
      <w:pPr>
        <w:pStyle w:val="Nadpis4"/>
      </w:pPr>
      <w:bookmarkStart w:id="334"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4"/>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5" w:name="_Toc444084972"/>
      <w:bookmarkStart w:id="336" w:name="_Toc4416502"/>
      <w:bookmarkStart w:id="337" w:name="_Toc4416636"/>
      <w:bookmarkStart w:id="338" w:name="_Toc4416930"/>
      <w:bookmarkStart w:id="339" w:name="_Toc4416979"/>
      <w:bookmarkStart w:id="340" w:name="_Toc12196247"/>
      <w:r w:rsidR="00F0716F" w:rsidRPr="00BE5BF7">
        <w:lastRenderedPageBreak/>
        <w:t xml:space="preserve">Opis </w:t>
      </w:r>
      <w:r w:rsidR="0068594A" w:rsidRPr="00BE5BF7">
        <w:t>p</w:t>
      </w:r>
      <w:r w:rsidR="007D674D" w:rsidRPr="00BE5BF7">
        <w:t>redmet</w:t>
      </w:r>
      <w:r w:rsidR="00F0716F" w:rsidRPr="00BE5BF7">
        <w:t>u zákazky</w:t>
      </w:r>
      <w:bookmarkEnd w:id="335"/>
      <w:bookmarkEnd w:id="336"/>
      <w:bookmarkEnd w:id="337"/>
      <w:bookmarkEnd w:id="338"/>
      <w:bookmarkEnd w:id="339"/>
      <w:bookmarkEnd w:id="340"/>
    </w:p>
    <w:p w14:paraId="7F5392C6" w14:textId="6BD013C9" w:rsidR="000B4CA9" w:rsidRPr="00BE5BF7" w:rsidRDefault="000B4CA9" w:rsidP="000B4CA9">
      <w:pPr>
        <w:rPr>
          <w:rFonts w:cs="Arial"/>
          <w:b/>
          <w:szCs w:val="20"/>
        </w:rPr>
      </w:pPr>
      <w:bookmarkStart w:id="341"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2" w:name="_Toc12196248"/>
      <w:r w:rsidRPr="00BE5BF7">
        <w:t>Základný</w:t>
      </w:r>
      <w:r w:rsidR="00EA4817" w:rsidRPr="00BE5BF7">
        <w:t> účel obstarania predmetu zákazky</w:t>
      </w:r>
      <w:bookmarkEnd w:id="342"/>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3" w:name="_Toc12196249"/>
      <w:r w:rsidRPr="00BE5BF7">
        <w:t>Z</w:t>
      </w:r>
      <w:r w:rsidR="00EA4817" w:rsidRPr="00BE5BF7">
        <w:t>ákladný opis predmetu zákazky</w:t>
      </w:r>
      <w:bookmarkEnd w:id="343"/>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4" w:name="_Toc12196250"/>
      <w:r w:rsidRPr="00BE5BF7">
        <w:lastRenderedPageBreak/>
        <w:t>C</w:t>
      </w:r>
      <w:r w:rsidR="00EA4817" w:rsidRPr="00BE5BF7">
        <w:t>harakteristika súčasného stavu energetického hospodárstva</w:t>
      </w:r>
      <w:bookmarkEnd w:id="344"/>
    </w:p>
    <w:p w14:paraId="6BFBEF40" w14:textId="53237F7C"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B.1</w:t>
      </w:r>
      <w:r w:rsidR="007442AD" w:rsidRPr="00A67EAC">
        <w:t>3</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5" w:name="_Toc12196251"/>
      <w:r w:rsidRPr="00BE5BF7">
        <w:t>P</w:t>
      </w:r>
      <w:r w:rsidR="00EA4817" w:rsidRPr="00BE5BF7">
        <w:t>ožiadavky na minimálny rozsah realizácie predmetu zákazky</w:t>
      </w:r>
      <w:r w:rsidR="001502CC" w:rsidRPr="00BE5BF7">
        <w:t xml:space="preserve"> a rozsah minimálnych opatrení</w:t>
      </w:r>
      <w:bookmarkEnd w:id="345"/>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74C8B393"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FF7DEA">
        <w:rPr>
          <w:b/>
          <w:bCs/>
        </w:rPr>
        <w:t>200</w:t>
      </w:r>
      <w:r w:rsidR="003B4DDE" w:rsidRPr="00BE5BF7">
        <w:rPr>
          <w:b/>
          <w:bCs/>
        </w:rPr>
        <w:t>.</w:t>
      </w:r>
      <w:r w:rsidR="00FF7DEA">
        <w:rPr>
          <w:b/>
          <w:bCs/>
        </w:rPr>
        <w:t>4</w:t>
      </w:r>
      <w:r w:rsidR="003B4DDE" w:rsidRPr="00BE5BF7">
        <w:rPr>
          <w:b/>
          <w:bCs/>
        </w:rPr>
        <w:t>00 EUR</w:t>
      </w:r>
      <w:r w:rsidR="003B4DDE" w:rsidRPr="00BE5BF7">
        <w:t xml:space="preserve"> (slovom: </w:t>
      </w:r>
      <w:r w:rsidR="00FF7DEA">
        <w:t>dvesto</w:t>
      </w:r>
      <w:r w:rsidR="003B4DDE" w:rsidRPr="00BE5BF7">
        <w:t>tisíc</w:t>
      </w:r>
      <w:r w:rsidR="00E05D88">
        <w:t>štyristo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6" w:name="_Toc12196252"/>
      <w:r w:rsidRPr="00BE5BF7">
        <w:t>Požiadavky na garanciu a výšku úspor</w:t>
      </w:r>
      <w:r w:rsidR="00BF3480" w:rsidRPr="00BE5BF7">
        <w:t xml:space="preserve"> pre zmluvu o energetickej efektívnosti</w:t>
      </w:r>
      <w:bookmarkEnd w:id="346"/>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4A6A8A7C" w:rsidR="000B4CA9" w:rsidRPr="00BE5BF7" w:rsidRDefault="000B4CA9" w:rsidP="0021692E">
      <w:pPr>
        <w:pStyle w:val="Nadpis4"/>
      </w:pPr>
      <w:bookmarkStart w:id="347"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FF7DEA">
        <w:rPr>
          <w:b/>
          <w:bCs/>
        </w:rPr>
        <w:t>200</w:t>
      </w:r>
      <w:r w:rsidR="00FF7DEA" w:rsidRPr="00BE5BF7">
        <w:rPr>
          <w:b/>
          <w:bCs/>
        </w:rPr>
        <w:t>.</w:t>
      </w:r>
      <w:r w:rsidR="00FF7DEA">
        <w:rPr>
          <w:b/>
          <w:bCs/>
        </w:rPr>
        <w:t>4</w:t>
      </w:r>
      <w:r w:rsidR="00FF7DEA" w:rsidRPr="00BE5BF7">
        <w:rPr>
          <w:b/>
          <w:bCs/>
        </w:rPr>
        <w:t xml:space="preserve">00 </w:t>
      </w:r>
      <w:r w:rsidRPr="00BE5BF7">
        <w:rPr>
          <w:b/>
          <w:bCs/>
        </w:rPr>
        <w:t>EUR</w:t>
      </w:r>
      <w:r w:rsidRPr="00BE5BF7">
        <w:t xml:space="preserve"> </w:t>
      </w:r>
      <w:bookmarkEnd w:id="347"/>
      <w:r w:rsidR="00097121" w:rsidRPr="00BE5BF7">
        <w:t xml:space="preserve">(slovom: </w:t>
      </w:r>
      <w:r w:rsidR="00E05D88">
        <w:t>dvesto</w:t>
      </w:r>
      <w:r w:rsidR="00E05D88" w:rsidRPr="00BE5BF7">
        <w:t>tisíc</w:t>
      </w:r>
      <w:r w:rsidR="00E05D88">
        <w:t>štyristo</w:t>
      </w:r>
      <w:r w:rsidR="00E05D88" w:rsidRPr="00BE5BF7" w:rsidDel="00E05D88">
        <w:t xml:space="preserve"> </w:t>
      </w:r>
      <w:r w:rsidR="00097121" w:rsidRPr="00BE5BF7">
        <w:t xml:space="preserve">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8" w:name="_Toc12196253"/>
      <w:r w:rsidRPr="00BE5BF7">
        <w:t>S</w:t>
      </w:r>
      <w:r w:rsidR="00EA4817" w:rsidRPr="00BE5BF7">
        <w:t xml:space="preserve">úvisiace </w:t>
      </w:r>
      <w:r w:rsidR="00714AFB" w:rsidRPr="00BE5BF7">
        <w:t>plnenia</w:t>
      </w:r>
      <w:bookmarkEnd w:id="348"/>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9"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9"/>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50" w:name="_Toc12196255"/>
      <w:r w:rsidRPr="00BE5BF7">
        <w:t>M</w:t>
      </w:r>
      <w:r w:rsidR="00EA4817" w:rsidRPr="00BE5BF7">
        <w:t>iesto realizácie predmetu zákazky</w:t>
      </w:r>
      <w:bookmarkEnd w:id="350"/>
    </w:p>
    <w:p w14:paraId="66E2F99A" w14:textId="54EF689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E05D88" w:rsidRPr="00BE5BF7">
        <w:t>1</w:t>
      </w:r>
      <w:r w:rsidR="00E05D88">
        <w:t>3</w:t>
      </w:r>
      <w:r w:rsidR="00E05D88" w:rsidRPr="00BE5BF7">
        <w:t xml:space="preserve"> </w:t>
      </w:r>
      <w:r w:rsidR="000A1C56" w:rsidRPr="00BE5BF7">
        <w:t>týchto súťažných podkladov):</w:t>
      </w:r>
    </w:p>
    <w:p w14:paraId="00B61D5F" w14:textId="23AD7FFE" w:rsidR="000A1C56" w:rsidRPr="00BE5BF7" w:rsidRDefault="00E05D88" w:rsidP="00D964E1">
      <w:pPr>
        <w:pStyle w:val="Nadpis6"/>
      </w:pPr>
      <w:r w:rsidRPr="00E05D88">
        <w:t>Sauna a letné Kúpalisko Rosnička</w:t>
      </w:r>
      <w:r>
        <w:t xml:space="preserve">, </w:t>
      </w:r>
      <w:r w:rsidRPr="00E05D88">
        <w:t xml:space="preserve">M. </w:t>
      </w:r>
      <w:proofErr w:type="spellStart"/>
      <w:r w:rsidRPr="00E05D88">
        <w:t>Schneidra</w:t>
      </w:r>
      <w:proofErr w:type="spellEnd"/>
      <w:r w:rsidRPr="00E05D88">
        <w:t xml:space="preserve"> Trnavského 2/c</w:t>
      </w:r>
      <w:r w:rsidRPr="00E05D88" w:rsidDel="00E05D88">
        <w:t xml:space="preserve"> </w:t>
      </w:r>
      <w:r w:rsidR="00D964E1" w:rsidRPr="00BE5BF7">
        <w:t>;</w:t>
      </w:r>
    </w:p>
    <w:p w14:paraId="31ADFCE6" w14:textId="64BB350D" w:rsidR="00D964E1" w:rsidRPr="00BE5BF7" w:rsidRDefault="00E05D88" w:rsidP="00CA6CB5">
      <w:pPr>
        <w:pStyle w:val="Nadpis6"/>
      </w:pPr>
      <w:r w:rsidRPr="00E05D88">
        <w:t>Dom tretieho veku</w:t>
      </w:r>
      <w:r>
        <w:t>,</w:t>
      </w:r>
      <w:r w:rsidRPr="00E05D88" w:rsidDel="00E05D88">
        <w:t xml:space="preserve"> </w:t>
      </w:r>
      <w:proofErr w:type="spellStart"/>
      <w:r w:rsidRPr="00E05D88">
        <w:t>Polereckého</w:t>
      </w:r>
      <w:proofErr w:type="spellEnd"/>
      <w:r w:rsidRPr="00E05D88">
        <w:t xml:space="preserve"> 3</w:t>
      </w:r>
      <w:r>
        <w:t>;</w:t>
      </w:r>
    </w:p>
    <w:p w14:paraId="02BA7DF6" w14:textId="53291394" w:rsidR="00E05D88" w:rsidRDefault="00E05D88" w:rsidP="00E05D88">
      <w:pPr>
        <w:pStyle w:val="Nadpis6"/>
      </w:pPr>
      <w:r w:rsidRPr="00E05D88">
        <w:t>Zariadenie pre seniorov GERIUM</w:t>
      </w:r>
      <w:r>
        <w:t xml:space="preserve">, </w:t>
      </w:r>
      <w:r w:rsidRPr="00D010C9">
        <w:t>Pri trati 47</w:t>
      </w:r>
      <w:r>
        <w:t>;</w:t>
      </w:r>
      <w:r w:rsidRPr="00E05D88" w:rsidDel="00E05D88">
        <w:t xml:space="preserve"> </w:t>
      </w:r>
    </w:p>
    <w:p w14:paraId="32BCCF7B" w14:textId="2BC0138B" w:rsidR="00E05D88" w:rsidRDefault="00E05D88" w:rsidP="00EA6975">
      <w:pPr>
        <w:pStyle w:val="Nadpis6"/>
      </w:pPr>
      <w:r w:rsidRPr="00E05D88">
        <w:t>Zariadenie pre seniorov GERIUM</w:t>
      </w:r>
      <w:r>
        <w:t>,</w:t>
      </w:r>
      <w:r w:rsidRPr="00E05D88">
        <w:t xml:space="preserve"> Smolnícka 3</w:t>
      </w:r>
      <w:r>
        <w:t>;</w:t>
      </w:r>
    </w:p>
    <w:p w14:paraId="55022383" w14:textId="778D06B1" w:rsidR="00E05D88" w:rsidRDefault="00E05D88" w:rsidP="00D010C9">
      <w:pPr>
        <w:pStyle w:val="Nadpis6"/>
      </w:pPr>
      <w:r w:rsidRPr="00E05D88">
        <w:t xml:space="preserve">Ubytovňa </w:t>
      </w:r>
      <w:proofErr w:type="spellStart"/>
      <w:r w:rsidRPr="00E05D88">
        <w:t>Fortuna</w:t>
      </w:r>
      <w:proofErr w:type="spellEnd"/>
      <w:r>
        <w:t>,</w:t>
      </w:r>
      <w:r w:rsidRPr="00E05D88" w:rsidDel="00E05D88">
        <w:t xml:space="preserve"> </w:t>
      </w:r>
      <w:proofErr w:type="spellStart"/>
      <w:r w:rsidRPr="00E05D88">
        <w:t>Agátova</w:t>
      </w:r>
      <w:proofErr w:type="spellEnd"/>
      <w:r w:rsidRPr="00E05D88">
        <w:t xml:space="preserve"> </w:t>
      </w:r>
      <w:r>
        <w:t>1;</w:t>
      </w:r>
    </w:p>
    <w:p w14:paraId="311A1521" w14:textId="796F1E91" w:rsidR="00E05D88" w:rsidRDefault="00E05D88" w:rsidP="00CA6CB5">
      <w:pPr>
        <w:pStyle w:val="Nadpis6"/>
      </w:pPr>
      <w:r w:rsidRPr="00E05D88">
        <w:t xml:space="preserve">Krízové centrum </w:t>
      </w:r>
      <w:proofErr w:type="spellStart"/>
      <w:r w:rsidRPr="00E05D88">
        <w:t>Repuls</w:t>
      </w:r>
      <w:proofErr w:type="spellEnd"/>
      <w:r>
        <w:t>,</w:t>
      </w:r>
      <w:r w:rsidRPr="00E05D88">
        <w:t xml:space="preserve"> Budatínska 59/A</w:t>
      </w:r>
      <w:r>
        <w:t>;</w:t>
      </w:r>
    </w:p>
    <w:p w14:paraId="28FD1D01" w14:textId="1F900FDE" w:rsidR="00E05D88" w:rsidRDefault="00E05D88" w:rsidP="00D010C9">
      <w:pPr>
        <w:pStyle w:val="Nadpis6"/>
      </w:pPr>
      <w:r w:rsidRPr="00E05D88">
        <w:lastRenderedPageBreak/>
        <w:t xml:space="preserve">ZUŠ Jozefa </w:t>
      </w:r>
      <w:proofErr w:type="spellStart"/>
      <w:r w:rsidRPr="00E05D88">
        <w:t>Kresánka</w:t>
      </w:r>
      <w:proofErr w:type="spellEnd"/>
      <w:r w:rsidR="00CA6CB5" w:rsidRPr="00BE5BF7">
        <w:t xml:space="preserve">, </w:t>
      </w:r>
      <w:r w:rsidRPr="00E05D88">
        <w:t>Karloveská 3</w:t>
      </w:r>
      <w:r>
        <w:t>;</w:t>
      </w:r>
    </w:p>
    <w:p w14:paraId="41FA1A72" w14:textId="3D993F7D" w:rsidR="00E05D88" w:rsidRPr="00EA6975" w:rsidRDefault="00E05D88">
      <w:pPr>
        <w:pStyle w:val="Nadpis6"/>
      </w:pPr>
      <w:r w:rsidRPr="00E05D88">
        <w:t>ZUŠ Eugena Suchoňa</w:t>
      </w:r>
      <w:r>
        <w:t xml:space="preserve">, </w:t>
      </w:r>
      <w:proofErr w:type="spellStart"/>
      <w:r w:rsidRPr="00D010C9">
        <w:t>Batkova</w:t>
      </w:r>
      <w:proofErr w:type="spellEnd"/>
      <w:r w:rsidRPr="00D010C9">
        <w:t xml:space="preserve"> 2</w:t>
      </w:r>
      <w:r>
        <w:t>;</w:t>
      </w:r>
    </w:p>
    <w:p w14:paraId="60FD3F68" w14:textId="78F175E2" w:rsidR="00E05D88" w:rsidRDefault="00E05D88" w:rsidP="00CA6CB5">
      <w:pPr>
        <w:pStyle w:val="Nadpis6"/>
      </w:pPr>
      <w:r w:rsidRPr="00E05D88">
        <w:t>Útulok a nocľaháreň Domov pre každého</w:t>
      </w:r>
      <w:r>
        <w:t xml:space="preserve">, </w:t>
      </w:r>
      <w:r w:rsidRPr="00D010C9">
        <w:t>Hradská 2C;</w:t>
      </w:r>
    </w:p>
    <w:p w14:paraId="62445350" w14:textId="0695A370" w:rsidR="00E05D88" w:rsidRPr="00D010C9" w:rsidRDefault="00E05D88" w:rsidP="00D010C9">
      <w:pPr>
        <w:pStyle w:val="Nadpis6"/>
      </w:pPr>
      <w:r w:rsidRPr="00D010C9">
        <w:t>Útulok a nocľaháreň Domov pre každého, Hradská 2D;</w:t>
      </w:r>
    </w:p>
    <w:p w14:paraId="35ABC06D" w14:textId="3C6C959E" w:rsidR="00E05D88" w:rsidRPr="00EA6975" w:rsidRDefault="00E05D88">
      <w:pPr>
        <w:pStyle w:val="Nadpis6"/>
      </w:pPr>
      <w:r w:rsidRPr="00D010C9">
        <w:t>Dielne Bratislavského kultúrneho a informačného strediska, Mlynská dolina 47-49;</w:t>
      </w:r>
    </w:p>
    <w:p w14:paraId="0F29E8F2" w14:textId="4C262EA5" w:rsidR="000B4CA9" w:rsidRPr="00BE5BF7" w:rsidRDefault="000B4CA9" w:rsidP="00D54716">
      <w:pPr>
        <w:pStyle w:val="Nadpis3"/>
      </w:pPr>
      <w:bookmarkStart w:id="351" w:name="_Toc12196256"/>
      <w:bookmarkStart w:id="352" w:name="_Ref14346950"/>
      <w:bookmarkStart w:id="353" w:name="_Ref14346954"/>
      <w:r w:rsidRPr="00BE5BF7">
        <w:t>T</w:t>
      </w:r>
      <w:r w:rsidR="00EA4817" w:rsidRPr="00BE5BF7">
        <w:t>ermín realizácie predmetu zákazky</w:t>
      </w:r>
      <w:bookmarkEnd w:id="351"/>
      <w:bookmarkEnd w:id="352"/>
      <w:bookmarkEnd w:id="353"/>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282149B6" w:rsidR="00C121CB" w:rsidRPr="00BE5BF7" w:rsidRDefault="00C121CB" w:rsidP="00C121CB">
      <w:pPr>
        <w:pStyle w:val="Nadpis7"/>
      </w:pPr>
      <w:r w:rsidRPr="00BE5BF7">
        <w:t xml:space="preserve">Obdobie príprav: maximálne </w:t>
      </w:r>
      <w:r w:rsidR="00DD11D4">
        <w:rPr>
          <w:rFonts w:eastAsiaTheme="minorHAnsi" w:cs="Arial"/>
          <w:szCs w:val="20"/>
        </w:rPr>
        <w:t>12</w:t>
      </w:r>
      <w:r w:rsidR="00BF4DC1" w:rsidRPr="00BE5BF7">
        <w:rPr>
          <w:rFonts w:eastAsiaTheme="minorHAnsi" w:cs="Arial"/>
          <w:szCs w:val="20"/>
        </w:rPr>
        <w:t xml:space="preserve"> </w:t>
      </w:r>
      <w:r w:rsidRPr="00BE5BF7">
        <w:t>mesiacov odo dňa nadobudnutia účinnosti zmluvy;</w:t>
      </w:r>
    </w:p>
    <w:p w14:paraId="49A7AFA5" w14:textId="76B9FB74" w:rsidR="00C121CB" w:rsidRPr="00BE5BF7" w:rsidRDefault="00C121CB" w:rsidP="00C121CB">
      <w:pPr>
        <w:pStyle w:val="Nadpis7"/>
      </w:pPr>
      <w:r w:rsidRPr="00BE5BF7">
        <w:t xml:space="preserve">Obdobie obnovy: maximálne </w:t>
      </w:r>
      <w:r w:rsidR="00BF4DC1" w:rsidRPr="00BE5BF7">
        <w:rPr>
          <w:rFonts w:eastAsiaTheme="minorHAnsi" w:cs="Arial"/>
          <w:szCs w:val="20"/>
        </w:rPr>
        <w:t>1</w:t>
      </w:r>
      <w:r w:rsidR="00DD11D4">
        <w:rPr>
          <w:rFonts w:eastAsiaTheme="minorHAnsi" w:cs="Arial"/>
          <w:szCs w:val="20"/>
        </w:rPr>
        <w:t>8</w:t>
      </w:r>
      <w:r w:rsidR="00BF4DC1" w:rsidRPr="00BE5BF7">
        <w:rPr>
          <w:rFonts w:eastAsiaTheme="minorHAnsi" w:cs="Arial"/>
          <w:szCs w:val="20"/>
        </w:rPr>
        <w:t xml:space="preserve">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6EF933C4" w:rsidR="00C121CB" w:rsidRPr="00BE5BF7" w:rsidRDefault="00C121CB" w:rsidP="00C121CB">
      <w:pPr>
        <w:pStyle w:val="Nadpis7"/>
      </w:pPr>
      <w:r w:rsidRPr="00BE5BF7">
        <w:t xml:space="preserve">Vyprojektovanie a dokončenie projektovej a ostatnej dokumentácie do </w:t>
      </w:r>
      <w:r w:rsidR="00DD11D4">
        <w:t>12</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4" w:name="_Toc12196257"/>
      <w:r w:rsidRPr="00BE5BF7">
        <w:t>Ď</w:t>
      </w:r>
      <w:r w:rsidR="00EA4817" w:rsidRPr="00BE5BF7">
        <w:t>alšie požiadavky na realizáciu predmetu zákazky</w:t>
      </w:r>
      <w:bookmarkEnd w:id="354"/>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30538258"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7704E0" w:rsidRPr="007704E0">
        <w:rPr>
          <w:rFonts w:cs="Arial"/>
          <w:szCs w:val="20"/>
        </w:rPr>
        <w:t>Sauna a letné Kúpalisko Rosnička</w:t>
      </w:r>
    </w:p>
    <w:p w14:paraId="25F059FD" w14:textId="0EBC3DD1"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Dom tretieho veku</w:t>
      </w:r>
    </w:p>
    <w:p w14:paraId="04866240" w14:textId="669C3837"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Pri trati 47</w:t>
      </w:r>
    </w:p>
    <w:p w14:paraId="49773D38" w14:textId="1225862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Smolnícka 3</w:t>
      </w:r>
    </w:p>
    <w:p w14:paraId="1ACD4D1B" w14:textId="4498366C"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 xml:space="preserve">Ubytovňa </w:t>
      </w:r>
      <w:proofErr w:type="spellStart"/>
      <w:r w:rsidR="007704E0" w:rsidRPr="007704E0">
        <w:rPr>
          <w:rFonts w:cs="Arial"/>
          <w:szCs w:val="20"/>
        </w:rPr>
        <w:t>Fortuna</w:t>
      </w:r>
      <w:proofErr w:type="spellEnd"/>
    </w:p>
    <w:p w14:paraId="71AC59A1" w14:textId="1E6CA62D"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Krízové centrum </w:t>
      </w:r>
      <w:proofErr w:type="spellStart"/>
      <w:r w:rsidR="004F52ED" w:rsidRPr="007704E0">
        <w:rPr>
          <w:rFonts w:cs="Arial"/>
          <w:szCs w:val="20"/>
        </w:rPr>
        <w:t>Repuls</w:t>
      </w:r>
      <w:proofErr w:type="spellEnd"/>
      <w:r w:rsidR="004F52ED" w:rsidRPr="00BE5BF7" w:rsidDel="004F52ED">
        <w:rPr>
          <w:rFonts w:eastAsiaTheme="majorEastAsia" w:cstheme="majorBidi"/>
        </w:rPr>
        <w:t xml:space="preserve"> </w:t>
      </w:r>
    </w:p>
    <w:p w14:paraId="7BF76E58" w14:textId="492FD720"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ZUŠ Jozefa </w:t>
      </w:r>
      <w:proofErr w:type="spellStart"/>
      <w:r w:rsidR="004F52ED" w:rsidRPr="007704E0">
        <w:rPr>
          <w:rFonts w:cs="Arial"/>
          <w:szCs w:val="20"/>
        </w:rPr>
        <w:t>Kresánka</w:t>
      </w:r>
      <w:proofErr w:type="spellEnd"/>
      <w:r w:rsidR="004F52ED" w:rsidRPr="00BE5BF7" w:rsidDel="004F52ED">
        <w:rPr>
          <w:rFonts w:eastAsiaTheme="majorEastAsia" w:cstheme="majorBidi"/>
        </w:rPr>
        <w:t xml:space="preserve"> </w:t>
      </w:r>
    </w:p>
    <w:p w14:paraId="5E5125B8" w14:textId="41E8948A"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ZUŠ Eugena Suchoňa</w:t>
      </w:r>
      <w:r w:rsidR="004F52ED" w:rsidRPr="00BE5BF7" w:rsidDel="004F52ED">
        <w:rPr>
          <w:rFonts w:eastAsiaTheme="majorEastAsia" w:cstheme="majorBidi"/>
        </w:rPr>
        <w:t xml:space="preserve"> </w:t>
      </w:r>
    </w:p>
    <w:p w14:paraId="39776306" w14:textId="4FC372B7" w:rsidR="004F52ED" w:rsidRPr="00BE5BF7" w:rsidRDefault="003952DC" w:rsidP="003952DC">
      <w:pPr>
        <w:ind w:left="2127" w:hanging="1418"/>
        <w:rPr>
          <w:rFonts w:cs="Arial"/>
          <w:szCs w:val="20"/>
        </w:rPr>
      </w:pPr>
      <w:r w:rsidRPr="00BE5BF7">
        <w:rPr>
          <w:rFonts w:cs="Arial"/>
          <w:szCs w:val="20"/>
        </w:rPr>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2C</w:t>
      </w:r>
      <w:r w:rsidR="004F52ED" w:rsidRPr="00BE5BF7" w:rsidDel="004F52ED">
        <w:rPr>
          <w:rFonts w:eastAsiaTheme="majorEastAsia" w:cstheme="majorBidi"/>
        </w:rPr>
        <w:t xml:space="preserve"> </w:t>
      </w:r>
    </w:p>
    <w:p w14:paraId="26C0DF3D" w14:textId="7B9819CC" w:rsidR="004F52ED"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2D</w:t>
      </w:r>
      <w:r w:rsidR="004F52ED" w:rsidRPr="00BE5BF7" w:rsidDel="004F52ED">
        <w:rPr>
          <w:rFonts w:eastAsiaTheme="majorEastAsia" w:cstheme="majorBidi"/>
        </w:rPr>
        <w:t xml:space="preserve"> </w:t>
      </w:r>
    </w:p>
    <w:p w14:paraId="7455E321" w14:textId="6BAD8E80" w:rsidR="003952DC" w:rsidRDefault="003952DC" w:rsidP="003952DC">
      <w:pPr>
        <w:ind w:left="2127" w:hanging="1418"/>
        <w:rPr>
          <w:rFonts w:cs="Arial"/>
          <w:szCs w:val="20"/>
        </w:rPr>
      </w:pPr>
      <w:r>
        <w:rPr>
          <w:rFonts w:cs="Arial"/>
          <w:szCs w:val="20"/>
        </w:rPr>
        <w:t>Príloha č. B.13</w:t>
      </w:r>
      <w:r>
        <w:rPr>
          <w:rFonts w:cs="Arial"/>
          <w:szCs w:val="20"/>
        </w:rPr>
        <w:tab/>
      </w:r>
      <w:r w:rsidR="004F52ED" w:rsidRPr="00BE5BF7">
        <w:rPr>
          <w:rFonts w:cs="Arial"/>
          <w:szCs w:val="20"/>
        </w:rPr>
        <w:t xml:space="preserve">Opis súčasného stavu budovy a charakteristika súčasného stavu spotreby energie budovy </w:t>
      </w:r>
      <w:r w:rsidR="004F52ED">
        <w:rPr>
          <w:rFonts w:cs="Arial"/>
          <w:szCs w:val="20"/>
        </w:rPr>
        <w:t xml:space="preserve">- </w:t>
      </w:r>
      <w:r w:rsidR="004F52ED" w:rsidRPr="007704E0">
        <w:rPr>
          <w:rFonts w:cs="Arial"/>
          <w:szCs w:val="20"/>
        </w:rPr>
        <w:t>Dielne Bratislavského kultúrneho a informačného strediska</w:t>
      </w:r>
      <w:r w:rsidR="004F52ED" w:rsidDel="004F52ED">
        <w:rPr>
          <w:rFonts w:cs="Arial"/>
          <w:szCs w:val="20"/>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D010C9">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5" w:name="_Toc4416503"/>
      <w:bookmarkStart w:id="356" w:name="_Toc4416638"/>
      <w:bookmarkStart w:id="357" w:name="_Toc4416932"/>
      <w:bookmarkStart w:id="358" w:name="_Toc4416981"/>
      <w:bookmarkStart w:id="359" w:name="_Toc12196258"/>
      <w:r w:rsidRPr="00BE5BF7">
        <w:lastRenderedPageBreak/>
        <w:t>Spôsob určenia ceny</w:t>
      </w:r>
      <w:bookmarkEnd w:id="341"/>
      <w:bookmarkEnd w:id="355"/>
      <w:bookmarkEnd w:id="356"/>
      <w:bookmarkEnd w:id="357"/>
      <w:bookmarkEnd w:id="358"/>
      <w:bookmarkEnd w:id="359"/>
    </w:p>
    <w:p w14:paraId="5AB616E9" w14:textId="04436274" w:rsidR="00AB7E74" w:rsidRPr="00BE5BF7" w:rsidRDefault="00AB7E74" w:rsidP="00D54716">
      <w:pPr>
        <w:pStyle w:val="Nadpis3"/>
      </w:pPr>
      <w:bookmarkStart w:id="360" w:name="_Toc400006306"/>
      <w:bookmarkStart w:id="361" w:name="_Toc444084985"/>
      <w:bookmarkStart w:id="362" w:name="_Toc4416639"/>
      <w:bookmarkStart w:id="363" w:name="_Toc4416933"/>
      <w:bookmarkStart w:id="364" w:name="_Toc4416982"/>
      <w:bookmarkStart w:id="365" w:name="_Toc12196259"/>
      <w:r w:rsidRPr="00BE5BF7">
        <w:t xml:space="preserve">Stanovenie ceny za </w:t>
      </w:r>
      <w:r w:rsidR="0068594A" w:rsidRPr="00BE5BF7">
        <w:t>p</w:t>
      </w:r>
      <w:r w:rsidR="007D674D" w:rsidRPr="00BE5BF7">
        <w:t>redmet</w:t>
      </w:r>
      <w:r w:rsidRPr="00BE5BF7">
        <w:t xml:space="preserve"> zákazky</w:t>
      </w:r>
      <w:bookmarkEnd w:id="360"/>
      <w:bookmarkEnd w:id="361"/>
      <w:bookmarkEnd w:id="362"/>
      <w:bookmarkEnd w:id="363"/>
      <w:bookmarkEnd w:id="364"/>
      <w:bookmarkEnd w:id="365"/>
      <w:r w:rsidR="00D12961" w:rsidRPr="00BE5BF7">
        <w:t xml:space="preserve"> </w:t>
      </w:r>
    </w:p>
    <w:p w14:paraId="7C251DEA" w14:textId="77777777" w:rsidR="007C13AD" w:rsidRPr="00BE5BF7" w:rsidRDefault="007C13AD" w:rsidP="0021692E">
      <w:pPr>
        <w:pStyle w:val="Nadpis4"/>
      </w:pPr>
      <w:bookmarkStart w:id="366" w:name="_Toc400006307"/>
      <w:bookmarkStart w:id="367" w:name="_Toc444084986"/>
      <w:bookmarkStart w:id="368" w:name="_Toc4416640"/>
      <w:bookmarkStart w:id="369" w:name="_Toc4416934"/>
      <w:bookmarkStart w:id="370"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1" w:name="_Toc12196260"/>
      <w:r w:rsidRPr="00BE5BF7">
        <w:t xml:space="preserve">Predloženie ceny za </w:t>
      </w:r>
      <w:r w:rsidR="0068594A" w:rsidRPr="00BE5BF7">
        <w:t>p</w:t>
      </w:r>
      <w:r w:rsidR="007D674D" w:rsidRPr="00BE5BF7">
        <w:t>redmet</w:t>
      </w:r>
      <w:r w:rsidRPr="00BE5BF7">
        <w:t xml:space="preserve"> zákazky</w:t>
      </w:r>
      <w:bookmarkEnd w:id="366"/>
      <w:bookmarkEnd w:id="367"/>
      <w:bookmarkEnd w:id="368"/>
      <w:bookmarkEnd w:id="369"/>
      <w:bookmarkEnd w:id="370"/>
      <w:bookmarkEnd w:id="371"/>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2"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2"/>
      <w:r w:rsidRPr="00BE5BF7">
        <w:t xml:space="preserve">. </w:t>
      </w:r>
    </w:p>
    <w:p w14:paraId="2F041BD7" w14:textId="5A29FEE0" w:rsidR="00512AF5" w:rsidRPr="00BE5BF7" w:rsidRDefault="00512AF5" w:rsidP="0021692E">
      <w:pPr>
        <w:pStyle w:val="Nadpis4"/>
      </w:pPr>
      <w:r w:rsidRPr="00BE5BF7">
        <w:t>C</w:t>
      </w:r>
      <w:bookmarkStart w:id="373"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3"/>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4" w:name="_Toc4416504"/>
      <w:bookmarkStart w:id="375" w:name="_Toc4416641"/>
      <w:bookmarkStart w:id="376" w:name="_Toc4416935"/>
      <w:bookmarkStart w:id="377" w:name="_Toc4416984"/>
      <w:bookmarkStart w:id="378" w:name="_Toc12196261"/>
      <w:r w:rsidRPr="00BE5BF7">
        <w:lastRenderedPageBreak/>
        <w:t>Obchodné podmienky</w:t>
      </w:r>
      <w:bookmarkEnd w:id="374"/>
      <w:bookmarkEnd w:id="375"/>
      <w:bookmarkEnd w:id="376"/>
      <w:bookmarkEnd w:id="377"/>
      <w:bookmarkEnd w:id="378"/>
    </w:p>
    <w:p w14:paraId="25F5FBFC" w14:textId="6D91C965" w:rsidR="00AB7E74" w:rsidRPr="00BE5BF7" w:rsidRDefault="00AB7E74" w:rsidP="00D54716">
      <w:pPr>
        <w:pStyle w:val="Nadpis3"/>
      </w:pPr>
      <w:bookmarkStart w:id="379" w:name="_Toc444084988"/>
      <w:bookmarkStart w:id="380" w:name="_Toc4416642"/>
      <w:bookmarkStart w:id="381" w:name="_Toc4416936"/>
      <w:bookmarkStart w:id="382" w:name="_Toc4416985"/>
      <w:bookmarkStart w:id="383" w:name="_Toc12196262"/>
      <w:r w:rsidRPr="00BE5BF7">
        <w:t xml:space="preserve">Podmienky uzatvorenia </w:t>
      </w:r>
      <w:r w:rsidR="00437C48" w:rsidRPr="00BE5BF7">
        <w:t>z</w:t>
      </w:r>
      <w:r w:rsidR="00347476" w:rsidRPr="00BE5BF7">
        <w:t>mluv</w:t>
      </w:r>
      <w:r w:rsidRPr="00BE5BF7">
        <w:t>y</w:t>
      </w:r>
      <w:bookmarkEnd w:id="379"/>
      <w:bookmarkEnd w:id="380"/>
      <w:bookmarkEnd w:id="381"/>
      <w:bookmarkEnd w:id="382"/>
      <w:bookmarkEnd w:id="383"/>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4"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5" w:name="_Toc4416505"/>
      <w:bookmarkStart w:id="386" w:name="_Toc4416643"/>
      <w:bookmarkStart w:id="387" w:name="_Toc4416937"/>
      <w:bookmarkStart w:id="388" w:name="_Toc4416986"/>
      <w:bookmarkStart w:id="389" w:name="_Toc12196263"/>
      <w:r w:rsidRPr="00BE5BF7">
        <w:lastRenderedPageBreak/>
        <w:t>Kritéri</w:t>
      </w:r>
      <w:r w:rsidR="00FB212F" w:rsidRPr="00BE5BF7">
        <w:t>á</w:t>
      </w:r>
      <w:r w:rsidRPr="00BE5BF7">
        <w:t xml:space="preserve"> hodnotenia ponúk</w:t>
      </w:r>
      <w:bookmarkEnd w:id="384"/>
      <w:bookmarkEnd w:id="385"/>
      <w:bookmarkEnd w:id="386"/>
      <w:bookmarkEnd w:id="387"/>
      <w:bookmarkEnd w:id="388"/>
      <w:bookmarkEnd w:id="389"/>
    </w:p>
    <w:p w14:paraId="47E83B9C" w14:textId="72495C9C" w:rsidR="00737281" w:rsidRPr="00BE5BF7" w:rsidRDefault="00737281" w:rsidP="00D54716">
      <w:pPr>
        <w:pStyle w:val="Nadpis3"/>
      </w:pPr>
      <w:bookmarkStart w:id="390" w:name="kriteria_vahy"/>
      <w:bookmarkStart w:id="391" w:name="_Toc444084991"/>
      <w:bookmarkStart w:id="392" w:name="_Toc4416644"/>
      <w:bookmarkStart w:id="393" w:name="_Toc4416938"/>
      <w:bookmarkStart w:id="394" w:name="_Toc4416987"/>
      <w:bookmarkStart w:id="395" w:name="_Toc12196264"/>
      <w:bookmarkEnd w:id="390"/>
      <w:r w:rsidRPr="00BE5BF7">
        <w:t>Kritérium na hodnotenie ponúk</w:t>
      </w:r>
      <w:bookmarkEnd w:id="391"/>
      <w:bookmarkEnd w:id="392"/>
      <w:bookmarkEnd w:id="393"/>
      <w:bookmarkEnd w:id="394"/>
      <w:bookmarkEnd w:id="395"/>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6" w:name="_Toc12196265"/>
      <w:bookmarkStart w:id="397" w:name="_Ref14354291"/>
      <w:r w:rsidRPr="00BE5BF7">
        <w:t>S</w:t>
      </w:r>
      <w:r w:rsidR="00EA4817" w:rsidRPr="00BE5BF7">
        <w:t xml:space="preserve">pôsob výpočtu jednotlivých </w:t>
      </w:r>
      <w:proofErr w:type="spellStart"/>
      <w:r w:rsidR="00EA4817" w:rsidRPr="00BE5BF7">
        <w:t>podkritérií</w:t>
      </w:r>
      <w:bookmarkEnd w:id="396"/>
      <w:bookmarkEnd w:id="397"/>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8" w:name="_Toc12196266"/>
      <w:r w:rsidRPr="00BE5BF7">
        <w:t>S</w:t>
      </w:r>
      <w:r w:rsidR="00EA4817" w:rsidRPr="00BE5BF7">
        <w:t>pôsob vyhodnotenia ponúk</w:t>
      </w:r>
      <w:bookmarkEnd w:id="398"/>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5785EAF4"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47938176" w14:textId="12DE46BE" w:rsidR="00AA6D64" w:rsidRPr="00AA6D64" w:rsidRDefault="00AA6D64" w:rsidP="00AA6D64">
      <w:pPr>
        <w:pStyle w:val="Nadpis4"/>
      </w:pPr>
      <w:r>
        <w:t xml:space="preserve">Uchádzač zároveň uvedenie finálnu hodnotu (K)  v eur s DPH v elektronickom formulári v systéme </w:t>
      </w:r>
      <w:proofErr w:type="spellStart"/>
      <w:r>
        <w:t>Josephine</w:t>
      </w:r>
      <w:proofErr w:type="spellEnd"/>
      <w:r>
        <w:t>.</w:t>
      </w:r>
    </w:p>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9" w:name="_Toc12196267"/>
      <w:r w:rsidRPr="00BE5BF7">
        <w:rPr>
          <w:rFonts w:cs="Arial"/>
          <w:szCs w:val="20"/>
        </w:rPr>
        <w:lastRenderedPageBreak/>
        <w:t>Podmienky účasti</w:t>
      </w:r>
      <w:bookmarkEnd w:id="399"/>
    </w:p>
    <w:p w14:paraId="78CE8AC5" w14:textId="3EF3CC9E" w:rsidR="009C5A06" w:rsidRPr="00BE5BF7" w:rsidRDefault="009C5A06" w:rsidP="009C5A06">
      <w:pPr>
        <w:pStyle w:val="Nadpis3"/>
      </w:pPr>
      <w:bookmarkStart w:id="400" w:name="_Toc12196268"/>
      <w:r w:rsidRPr="00BE5BF7">
        <w:t>Osobné postavenie</w:t>
      </w:r>
      <w:bookmarkEnd w:id="400"/>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1"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1"/>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2"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2"/>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3" w:name="_Toc12196269"/>
      <w:r w:rsidRPr="00BE5BF7">
        <w:t>Ekonomické a finančné postavenie</w:t>
      </w:r>
      <w:bookmarkEnd w:id="403"/>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w:t>
      </w:r>
      <w:r w:rsidR="007464FD" w:rsidRPr="00DB7C08">
        <w:t>1 000 000</w:t>
      </w:r>
      <w:r w:rsidRPr="00D504D7">
        <w:t xml:space="preserve"> ,- EUR bez DPH (slovom </w:t>
      </w:r>
      <w:r w:rsidR="007464FD" w:rsidRPr="00DB7C08">
        <w:rPr>
          <w:rFonts w:eastAsiaTheme="minorHAnsi" w:cs="Arial"/>
          <w:szCs w:val="20"/>
        </w:rPr>
        <w:t>jeden milión</w:t>
      </w:r>
      <w:r w:rsidR="007464FD" w:rsidRPr="00D504D7">
        <w:rPr>
          <w:rFonts w:eastAsiaTheme="minorHAnsi" w:cs="Arial"/>
          <w:szCs w:val="20"/>
        </w:rPr>
        <w:t xml:space="preserve"> </w:t>
      </w:r>
      <w:r w:rsidRPr="00D504D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4" w:name="_Toc12196270"/>
      <w:r w:rsidRPr="00BE5BF7">
        <w:t>Technická a</w:t>
      </w:r>
      <w:r w:rsidR="00EA5996" w:rsidRPr="00BE5BF7">
        <w:t>lebo</w:t>
      </w:r>
      <w:r w:rsidRPr="00BE5BF7">
        <w:t xml:space="preserve"> odborná spôsobilosť</w:t>
      </w:r>
      <w:bookmarkEnd w:id="404"/>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5"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5"/>
    </w:p>
    <w:p w14:paraId="2BFC7D54" w14:textId="11036204"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V súlade s ustanovením § 34 ods. 1 písm. a)</w:t>
      </w:r>
      <w:r w:rsidR="00C145B9">
        <w:rPr>
          <w:rFonts w:eastAsia="Times New Roman"/>
          <w:shd w:val="clear" w:color="auto" w:fill="FFFFFF"/>
          <w:lang w:eastAsia="sk-SK"/>
        </w:rPr>
        <w:t xml:space="preserve"> v nadväznosti na odsek 2</w:t>
      </w:r>
      <w:r w:rsidRPr="00BE5BF7">
        <w:rPr>
          <w:rFonts w:eastAsia="Times New Roman"/>
          <w:shd w:val="clear" w:color="auto" w:fill="FFFFFF"/>
          <w:lang w:eastAsia="sk-SK"/>
        </w:rPr>
        <w:t xml:space="preserve"> ZVO: Zoznam poskytnutých služieb </w:t>
      </w:r>
      <w:bookmarkStart w:id="406" w:name="_Hlk6239183"/>
      <w:r w:rsidRPr="00BE5BF7">
        <w:rPr>
          <w:rFonts w:eastAsia="Times New Roman"/>
          <w:shd w:val="clear" w:color="auto" w:fill="FFFFFF"/>
          <w:lang w:eastAsia="sk-SK"/>
        </w:rPr>
        <w:t>za predchádzajúc</w:t>
      </w:r>
      <w:r w:rsidR="00C145B9">
        <w:rPr>
          <w:rFonts w:eastAsia="Times New Roman"/>
          <w:shd w:val="clear" w:color="auto" w:fill="FFFFFF"/>
          <w:lang w:eastAsia="sk-SK"/>
        </w:rPr>
        <w:t>ich</w:t>
      </w:r>
      <w:r w:rsidRPr="00BE5BF7">
        <w:rPr>
          <w:rFonts w:eastAsia="Times New Roman"/>
          <w:shd w:val="clear" w:color="auto" w:fill="FFFFFF"/>
          <w:lang w:eastAsia="sk-SK"/>
        </w:rPr>
        <w:t xml:space="preserve"> </w:t>
      </w:r>
      <w:r w:rsidR="00C145B9">
        <w:rPr>
          <w:rFonts w:eastAsia="Times New Roman"/>
          <w:shd w:val="clear" w:color="auto" w:fill="FFFFFF"/>
          <w:lang w:eastAsia="sk-SK"/>
        </w:rPr>
        <w:t>päť</w:t>
      </w:r>
      <w:r w:rsidRPr="00BE5BF7">
        <w:rPr>
          <w:rFonts w:eastAsia="Times New Roman"/>
          <w:shd w:val="clear" w:color="auto" w:fill="FFFFFF"/>
          <w:lang w:eastAsia="sk-SK"/>
        </w:rPr>
        <w:t xml:space="preserve"> rok</w:t>
      </w:r>
      <w:r w:rsidR="00C145B9">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6"/>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47DE48B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FC214A">
        <w:rPr>
          <w:shd w:val="clear" w:color="auto" w:fill="FFFFFF"/>
          <w:lang w:eastAsia="sk-SK"/>
        </w:rPr>
        <w:t>ich</w:t>
      </w:r>
      <w:r w:rsidR="00C03B32" w:rsidRPr="00BE5BF7">
        <w:rPr>
          <w:shd w:val="clear" w:color="auto" w:fill="FFFFFF"/>
          <w:lang w:eastAsia="sk-SK"/>
        </w:rPr>
        <w:t xml:space="preserve"> </w:t>
      </w:r>
      <w:r w:rsidR="00FC214A">
        <w:rPr>
          <w:shd w:val="clear" w:color="auto" w:fill="FFFFFF"/>
          <w:lang w:eastAsia="sk-SK"/>
        </w:rPr>
        <w:t>päť</w:t>
      </w:r>
      <w:r w:rsidR="00FC214A" w:rsidRPr="00BE5BF7">
        <w:rPr>
          <w:shd w:val="clear" w:color="auto" w:fill="FFFFFF"/>
          <w:lang w:eastAsia="sk-SK"/>
        </w:rPr>
        <w:t xml:space="preserve"> </w:t>
      </w:r>
      <w:r w:rsidR="00C03B32" w:rsidRPr="00BE5BF7">
        <w:rPr>
          <w:shd w:val="clear" w:color="auto" w:fill="FFFFFF"/>
          <w:lang w:eastAsia="sk-SK"/>
        </w:rPr>
        <w:t>rok</w:t>
      </w:r>
      <w:r w:rsidR="00FC214A">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w:t>
      </w:r>
      <w:r w:rsidR="007464FD" w:rsidRPr="00FC214A">
        <w:rPr>
          <w:shd w:val="clear" w:color="auto" w:fill="FFFFFF"/>
          <w:lang w:eastAsia="sk-SK"/>
        </w:rPr>
        <w:t>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7"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7"/>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8" w:name="_Ref6294565"/>
      <w:r w:rsidRPr="00BE5BF7">
        <w:rPr>
          <w:rFonts w:eastAsia="Times New Roman"/>
          <w:shd w:val="clear" w:color="auto" w:fill="FFFFFF"/>
          <w:lang w:eastAsia="sk-SK"/>
        </w:rPr>
        <w:t>profesijného životopisu, s minimálnym obsahom:</w:t>
      </w:r>
      <w:bookmarkEnd w:id="408"/>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9"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9"/>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10" w:name="_Toc4416507"/>
      <w:bookmarkStart w:id="411" w:name="_Toc4416650"/>
      <w:bookmarkStart w:id="412" w:name="_Toc4416944"/>
      <w:bookmarkStart w:id="413" w:name="_Toc4416993"/>
      <w:bookmarkStart w:id="414" w:name="_Toc12196271"/>
      <w:bookmarkStart w:id="415" w:name="_Hlk6218127"/>
      <w:r w:rsidRPr="00BE5BF7">
        <w:lastRenderedPageBreak/>
        <w:t>SUMARIZÁCIA</w:t>
      </w:r>
      <w:r w:rsidR="008501A8" w:rsidRPr="00BE5BF7">
        <w:t xml:space="preserve"> </w:t>
      </w:r>
      <w:r w:rsidR="00D27919" w:rsidRPr="00BE5BF7">
        <w:t>PRÍLOH SÚŤAŽNÝCH PODKLADOV</w:t>
      </w:r>
      <w:bookmarkEnd w:id="410"/>
      <w:bookmarkEnd w:id="411"/>
      <w:bookmarkEnd w:id="412"/>
      <w:bookmarkEnd w:id="413"/>
      <w:bookmarkEnd w:id="414"/>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082E16">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082E16">
      <w:pPr>
        <w:ind w:left="1418" w:hanging="1418"/>
      </w:pPr>
      <w:r w:rsidRPr="00BE5BF7">
        <w:t>Príloha č. B.2</w:t>
      </w:r>
      <w:r w:rsidRPr="00BE5BF7">
        <w:tab/>
        <w:t>Navrhované opatrenia (vzorový formulár)</w:t>
      </w:r>
    </w:p>
    <w:p w14:paraId="586F8665" w14:textId="77777777" w:rsidR="004E3F9F" w:rsidRPr="00E644E6" w:rsidRDefault="004E3F9F" w:rsidP="00082E16">
      <w:pPr>
        <w:ind w:left="1418" w:hanging="1418"/>
      </w:pPr>
      <w:r w:rsidRPr="00E644E6">
        <w:t xml:space="preserve">Príloha č. B.3  </w:t>
      </w:r>
      <w:r w:rsidRPr="00E644E6">
        <w:tab/>
        <w:t>Opis súčasného stavu budovy a charakteristika súčasného stavu spotreby energie budovy – Sauna a letné Kúpalisko Rosnička</w:t>
      </w:r>
    </w:p>
    <w:p w14:paraId="4983B65E" w14:textId="77777777" w:rsidR="004E3F9F" w:rsidRPr="00227267" w:rsidRDefault="004E3F9F" w:rsidP="00082E16">
      <w:pPr>
        <w:ind w:left="1418" w:hanging="1418"/>
      </w:pPr>
      <w:r w:rsidRPr="003B29DE">
        <w:t xml:space="preserve">Príloha č. B.4 </w:t>
      </w:r>
      <w:r w:rsidRPr="003B29DE">
        <w:tab/>
        <w:t>Opis súčasného stavu budovy a charakteristika súčasného stavu spotreby energie budovy – Dom tretieho veku</w:t>
      </w:r>
    </w:p>
    <w:p w14:paraId="5CF820A5" w14:textId="77777777" w:rsidR="004E3F9F" w:rsidRPr="00227267" w:rsidRDefault="004E3F9F" w:rsidP="00082E16">
      <w:pPr>
        <w:ind w:left="1418" w:hanging="1418"/>
      </w:pPr>
      <w:r w:rsidRPr="00227267">
        <w:t xml:space="preserve">Príloha č. B.5  </w:t>
      </w:r>
      <w:r w:rsidRPr="00227267">
        <w:tab/>
        <w:t>Opis súčasného stavu budovy a charakteristika súčasného stavu spotreby energie budovy – Zariadenie pre seniorov GERIUM, Pri trati 47</w:t>
      </w:r>
    </w:p>
    <w:p w14:paraId="36093461" w14:textId="77777777" w:rsidR="004E3F9F" w:rsidRPr="00374102" w:rsidRDefault="004E3F9F" w:rsidP="00082E16">
      <w:pPr>
        <w:ind w:left="1418" w:hanging="1418"/>
      </w:pPr>
      <w:r w:rsidRPr="00D010C9">
        <w:t xml:space="preserve">Príloha č. B.6  </w:t>
      </w:r>
      <w:r w:rsidRPr="00D010C9">
        <w:tab/>
        <w:t>Opis súčasného stavu budovy a charakteristika súčasného stavu spotreby energie budovy – Zariadenie pre seniorov GERIUM, Smolnícka 3</w:t>
      </w:r>
    </w:p>
    <w:p w14:paraId="1A2B504C" w14:textId="77777777" w:rsidR="004E3F9F" w:rsidRPr="00082E16" w:rsidRDefault="004E3F9F" w:rsidP="00082E16">
      <w:pPr>
        <w:ind w:left="1418" w:hanging="1418"/>
      </w:pPr>
      <w:r w:rsidRPr="00EF20E5">
        <w:t xml:space="preserve">Príloha č. B.7  </w:t>
      </w:r>
      <w:r w:rsidRPr="00EF20E5">
        <w:tab/>
        <w:t>Opis súčasného stavu budovy a charakteristika súčasného stavu spotreb</w:t>
      </w:r>
      <w:r w:rsidRPr="001A6F85">
        <w:t xml:space="preserve">y energie budovy – Ubytovňa </w:t>
      </w:r>
      <w:proofErr w:type="spellStart"/>
      <w:r w:rsidRPr="001A6F85">
        <w:t>Fortuna</w:t>
      </w:r>
      <w:proofErr w:type="spellEnd"/>
    </w:p>
    <w:p w14:paraId="0AB42C09" w14:textId="77777777" w:rsidR="004E3F9F" w:rsidRPr="00082E16" w:rsidRDefault="004E3F9F" w:rsidP="00082E16">
      <w:pPr>
        <w:ind w:left="1418" w:hanging="1418"/>
      </w:pPr>
      <w:r w:rsidRPr="00082E16">
        <w:t xml:space="preserve">Príloha č. B.8  </w:t>
      </w:r>
      <w:r w:rsidRPr="00082E16">
        <w:tab/>
        <w:t xml:space="preserve">Opis súčasného stavu budovy a charakteristika súčasného stavu spotreby energie budovy – Krízové centrum </w:t>
      </w:r>
      <w:proofErr w:type="spellStart"/>
      <w:r w:rsidRPr="00082E16">
        <w:t>Repuls</w:t>
      </w:r>
      <w:proofErr w:type="spellEnd"/>
      <w:r w:rsidRPr="00082E16" w:rsidDel="004F52ED">
        <w:t xml:space="preserve"> </w:t>
      </w:r>
    </w:p>
    <w:p w14:paraId="3D0A0021" w14:textId="77777777" w:rsidR="004E3F9F" w:rsidRPr="00082E16" w:rsidRDefault="004E3F9F" w:rsidP="00082E16">
      <w:pPr>
        <w:ind w:left="1418" w:hanging="1418"/>
      </w:pPr>
      <w:r w:rsidRPr="00082E16">
        <w:t xml:space="preserve">Príloha č. B.9  </w:t>
      </w:r>
      <w:r w:rsidRPr="00082E16">
        <w:tab/>
        <w:t xml:space="preserve">Opis súčasného stavu budovy a charakteristika súčasného stavu spotreby energie budovy – ZUŠ Jozefa </w:t>
      </w:r>
      <w:proofErr w:type="spellStart"/>
      <w:r w:rsidRPr="00082E16">
        <w:t>Kresánka</w:t>
      </w:r>
      <w:proofErr w:type="spellEnd"/>
      <w:r w:rsidRPr="00082E16" w:rsidDel="004F52ED">
        <w:t xml:space="preserve"> </w:t>
      </w:r>
    </w:p>
    <w:p w14:paraId="43B3C7EE" w14:textId="77777777" w:rsidR="004E3F9F" w:rsidRPr="00082E16" w:rsidRDefault="004E3F9F" w:rsidP="00082E16">
      <w:pPr>
        <w:ind w:left="1418" w:hanging="1418"/>
      </w:pPr>
      <w:r w:rsidRPr="00082E16">
        <w:t xml:space="preserve">Príloha č. B.10  </w:t>
      </w:r>
      <w:r w:rsidRPr="00082E16">
        <w:tab/>
        <w:t>Opis súčasného stavu budovy a charakteristika súčasného stavu spotreby energie budovy – ZUŠ Eugena Suchoňa</w:t>
      </w:r>
      <w:r w:rsidRPr="00082E16" w:rsidDel="004F52ED">
        <w:t xml:space="preserve"> </w:t>
      </w:r>
    </w:p>
    <w:p w14:paraId="6309DC69" w14:textId="77777777" w:rsidR="004E3F9F" w:rsidRPr="00082E16" w:rsidRDefault="004E3F9F" w:rsidP="00082E16">
      <w:pPr>
        <w:ind w:left="1418" w:hanging="1418"/>
      </w:pPr>
      <w:r w:rsidRPr="00082E16">
        <w:t xml:space="preserve">Príloha č. B.11  </w:t>
      </w:r>
      <w:r w:rsidRPr="00082E16">
        <w:tab/>
        <w:t>Opis súčasného stavu budovy a charakteristika súčasného stavu spotreby energie budovy – Útulok a nocľaháreň Domov pre každého, Hradská 2C</w:t>
      </w:r>
      <w:r w:rsidRPr="00082E16" w:rsidDel="004F52ED">
        <w:t xml:space="preserve"> </w:t>
      </w:r>
    </w:p>
    <w:p w14:paraId="0C599804" w14:textId="77777777" w:rsidR="004E3F9F" w:rsidRPr="00082E16" w:rsidRDefault="004E3F9F" w:rsidP="00082E16">
      <w:pPr>
        <w:ind w:left="1418" w:hanging="1418"/>
      </w:pPr>
      <w:r w:rsidRPr="00082E16">
        <w:t xml:space="preserve">Príloha č. B.12  </w:t>
      </w:r>
      <w:r w:rsidRPr="00082E16">
        <w:tab/>
        <w:t>Opis súčasného stavu budovy a charakteristika súčasného stavu spotreby energie budovy – Útulok a nocľaháreň Domov pre každého, Hradská 2D</w:t>
      </w:r>
      <w:r w:rsidRPr="00082E16" w:rsidDel="004F52ED">
        <w:t xml:space="preserve"> </w:t>
      </w:r>
    </w:p>
    <w:p w14:paraId="5BFF8612" w14:textId="77777777" w:rsidR="00082E16" w:rsidRDefault="004E3F9F" w:rsidP="0059537D">
      <w:pPr>
        <w:ind w:left="1418" w:hanging="1418"/>
        <w:rPr>
          <w:rFonts w:cs="Arial"/>
          <w:szCs w:val="20"/>
        </w:rPr>
      </w:pPr>
      <w:r w:rsidRPr="00082E16">
        <w:t>Príloha č. B.13</w:t>
      </w:r>
      <w:r w:rsidRPr="00082E16">
        <w:tab/>
        <w:t>Opis súčasného stavu budovy a charakteristika súčasného stavu spotreby energie budovy - Dielne Bratislavského</w:t>
      </w:r>
      <w:r w:rsidRPr="007704E0">
        <w:rPr>
          <w:rFonts w:cs="Arial"/>
          <w:szCs w:val="20"/>
        </w:rPr>
        <w:t xml:space="preserve"> kultúrneho a informačného strediska</w:t>
      </w:r>
      <w:r w:rsidDel="004F52ED">
        <w:rPr>
          <w:rFonts w:cs="Arial"/>
          <w:szCs w:val="20"/>
        </w:rPr>
        <w:t xml:space="preserve"> </w:t>
      </w:r>
      <w:bookmarkStart w:id="416" w:name="_Hlk522552073"/>
      <w:bookmarkEnd w:id="415"/>
    </w:p>
    <w:p w14:paraId="08DB9A35" w14:textId="5314B20D"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7" w:name="_Hlk523831990"/>
      <w:r w:rsidRPr="0059537D">
        <w:rPr>
          <w:rFonts w:cs="Arial"/>
          <w:szCs w:val="20"/>
        </w:rPr>
        <w:t>Zmluva o energetickej efektívnosti pre verejný sektor</w:t>
      </w:r>
      <w:bookmarkEnd w:id="417"/>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6"/>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536F" w14:textId="77777777" w:rsidR="00471C14" w:rsidRDefault="00471C14" w:rsidP="005A4804">
      <w:r>
        <w:separator/>
      </w:r>
    </w:p>
  </w:endnote>
  <w:endnote w:type="continuationSeparator" w:id="0">
    <w:p w14:paraId="5CC9081F" w14:textId="77777777" w:rsidR="00471C14" w:rsidRDefault="00471C14" w:rsidP="005A4804">
      <w:r>
        <w:continuationSeparator/>
      </w:r>
    </w:p>
  </w:endnote>
  <w:endnote w:type="continuationNotice" w:id="1">
    <w:p w14:paraId="458F476B" w14:textId="77777777" w:rsidR="00471C14" w:rsidRDefault="00471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397E" w:rsidRDefault="0055397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397E" w:rsidRDefault="0055397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397E" w:rsidRDefault="0055397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397E" w:rsidRDefault="0055397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397E" w:rsidRDefault="0055397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397E" w:rsidRPr="00B86737" w:rsidRDefault="0055397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397E" w:rsidRPr="00B90118" w:rsidRDefault="0055397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397E" w:rsidRDefault="0055397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43969" w14:textId="77777777" w:rsidR="00471C14" w:rsidRDefault="00471C14" w:rsidP="005A4804">
      <w:r>
        <w:separator/>
      </w:r>
    </w:p>
  </w:footnote>
  <w:footnote w:type="continuationSeparator" w:id="0">
    <w:p w14:paraId="0EFD3E35" w14:textId="77777777" w:rsidR="00471C14" w:rsidRDefault="00471C14" w:rsidP="005A4804">
      <w:r>
        <w:continuationSeparator/>
      </w:r>
    </w:p>
  </w:footnote>
  <w:footnote w:type="continuationNotice" w:id="1">
    <w:p w14:paraId="7E65A792" w14:textId="77777777" w:rsidR="00471C14" w:rsidRDefault="00471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397E" w:rsidRPr="005D1A28" w:rsidRDefault="0055397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397E" w:rsidRPr="00EA4A4F" w:rsidRDefault="0055397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42"/>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2E16"/>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C56"/>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6F85"/>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01F"/>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27267"/>
    <w:rsid w:val="0023116B"/>
    <w:rsid w:val="00231B5F"/>
    <w:rsid w:val="002323B8"/>
    <w:rsid w:val="002328C3"/>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B9B"/>
    <w:rsid w:val="00284E38"/>
    <w:rsid w:val="002851D6"/>
    <w:rsid w:val="00285789"/>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4AA"/>
    <w:rsid w:val="002B5655"/>
    <w:rsid w:val="002B598A"/>
    <w:rsid w:val="002B5A5E"/>
    <w:rsid w:val="002B5DF6"/>
    <w:rsid w:val="002B7D08"/>
    <w:rsid w:val="002B7E7C"/>
    <w:rsid w:val="002C06DE"/>
    <w:rsid w:val="002C095C"/>
    <w:rsid w:val="002C0A65"/>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4360"/>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4102"/>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8F1"/>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29D8"/>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1C14"/>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0986"/>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205F"/>
    <w:rsid w:val="00553037"/>
    <w:rsid w:val="0055359B"/>
    <w:rsid w:val="0055397E"/>
    <w:rsid w:val="005562DC"/>
    <w:rsid w:val="0055643C"/>
    <w:rsid w:val="005603F6"/>
    <w:rsid w:val="00561100"/>
    <w:rsid w:val="0056221E"/>
    <w:rsid w:val="0056224C"/>
    <w:rsid w:val="00562759"/>
    <w:rsid w:val="00562BF1"/>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E99"/>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6DE9"/>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32D"/>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0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102"/>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47F6"/>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6BB"/>
    <w:rsid w:val="00A408D4"/>
    <w:rsid w:val="00A41111"/>
    <w:rsid w:val="00A41166"/>
    <w:rsid w:val="00A4121B"/>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67EAC"/>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6D64"/>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0F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10B59"/>
    <w:rsid w:val="00C10FAB"/>
    <w:rsid w:val="00C11AD3"/>
    <w:rsid w:val="00C11C6C"/>
    <w:rsid w:val="00C121CB"/>
    <w:rsid w:val="00C12206"/>
    <w:rsid w:val="00C127A8"/>
    <w:rsid w:val="00C12E1F"/>
    <w:rsid w:val="00C13CF8"/>
    <w:rsid w:val="00C145B9"/>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3C5F"/>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5F"/>
    <w:rsid w:val="00CF1CCF"/>
    <w:rsid w:val="00CF332B"/>
    <w:rsid w:val="00CF40F7"/>
    <w:rsid w:val="00CF5DFD"/>
    <w:rsid w:val="00CF6246"/>
    <w:rsid w:val="00CF6572"/>
    <w:rsid w:val="00CF68B7"/>
    <w:rsid w:val="00CF7034"/>
    <w:rsid w:val="00CF75BB"/>
    <w:rsid w:val="00CF763F"/>
    <w:rsid w:val="00CF775E"/>
    <w:rsid w:val="00D0001D"/>
    <w:rsid w:val="00D007C8"/>
    <w:rsid w:val="00D010C9"/>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4D7"/>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422"/>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B7C08"/>
    <w:rsid w:val="00DC05DA"/>
    <w:rsid w:val="00DC0C78"/>
    <w:rsid w:val="00DC287F"/>
    <w:rsid w:val="00DC2EAC"/>
    <w:rsid w:val="00DC30BD"/>
    <w:rsid w:val="00DC394A"/>
    <w:rsid w:val="00DC43EB"/>
    <w:rsid w:val="00DC4C10"/>
    <w:rsid w:val="00DC547E"/>
    <w:rsid w:val="00DC66FF"/>
    <w:rsid w:val="00DC7F46"/>
    <w:rsid w:val="00DD0D61"/>
    <w:rsid w:val="00DD11D4"/>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842"/>
    <w:rsid w:val="00E73A68"/>
    <w:rsid w:val="00E75FA6"/>
    <w:rsid w:val="00E766B4"/>
    <w:rsid w:val="00E81904"/>
    <w:rsid w:val="00E81C94"/>
    <w:rsid w:val="00E81E33"/>
    <w:rsid w:val="00E81EA7"/>
    <w:rsid w:val="00E81F0A"/>
    <w:rsid w:val="00E82895"/>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0E5"/>
    <w:rsid w:val="00EF264F"/>
    <w:rsid w:val="00EF27F9"/>
    <w:rsid w:val="00EF2D37"/>
    <w:rsid w:val="00EF4594"/>
    <w:rsid w:val="00EF49C4"/>
    <w:rsid w:val="00EF4AEF"/>
    <w:rsid w:val="00EF4CFE"/>
    <w:rsid w:val="00EF549F"/>
    <w:rsid w:val="00EF6B51"/>
    <w:rsid w:val="00EF7188"/>
    <w:rsid w:val="00EF74D3"/>
    <w:rsid w:val="00EF7C45"/>
    <w:rsid w:val="00F00584"/>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A"/>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5FD2"/>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14A"/>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man.cambala@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F68413-06BE-4562-B9E0-32900D79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965</TotalTime>
  <Pages>31</Pages>
  <Words>14057</Words>
  <Characters>80130</Characters>
  <Application>Microsoft Office Word</Application>
  <DocSecurity>0</DocSecurity>
  <Lines>667</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Heriban Tomáš, Mgr.</cp:lastModifiedBy>
  <cp:revision>54</cp:revision>
  <cp:lastPrinted>2019-07-17T07:32:00Z</cp:lastPrinted>
  <dcterms:created xsi:type="dcterms:W3CDTF">2019-07-16T08:41:00Z</dcterms:created>
  <dcterms:modified xsi:type="dcterms:W3CDTF">2019-08-27T13:37:00Z</dcterms:modified>
</cp:coreProperties>
</file>