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3D930" w14:textId="77777777" w:rsidR="0002717E" w:rsidRPr="003A34C9" w:rsidRDefault="0002717E" w:rsidP="00304767">
      <w:pPr>
        <w:spacing w:after="0" w:line="269" w:lineRule="auto"/>
        <w:jc w:val="center"/>
        <w:rPr>
          <w:rFonts w:ascii="Cambria" w:hAnsi="Cambria" w:cs="Arial"/>
          <w:b/>
          <w:color w:val="C00000"/>
          <w:sz w:val="24"/>
          <w:szCs w:val="20"/>
        </w:rPr>
      </w:pPr>
      <w:r w:rsidRPr="003A34C9">
        <w:rPr>
          <w:rFonts w:ascii="Cambria" w:hAnsi="Cambria" w:cs="Arial"/>
          <w:b/>
          <w:color w:val="C00000"/>
          <w:sz w:val="24"/>
          <w:szCs w:val="20"/>
        </w:rPr>
        <w:t>Správa o</w:t>
      </w:r>
      <w:r w:rsidRPr="003A34C9">
        <w:rPr>
          <w:rFonts w:ascii="Cambria" w:hAnsi="Cambria" w:cs="Calibri"/>
          <w:b/>
          <w:color w:val="C00000"/>
          <w:sz w:val="24"/>
          <w:szCs w:val="20"/>
        </w:rPr>
        <w:t> </w:t>
      </w:r>
      <w:r w:rsidRPr="003A34C9">
        <w:rPr>
          <w:rFonts w:ascii="Cambria" w:hAnsi="Cambria" w:cs="Arial"/>
          <w:b/>
          <w:color w:val="C00000"/>
          <w:sz w:val="24"/>
          <w:szCs w:val="20"/>
        </w:rPr>
        <w:t>zákazke</w:t>
      </w:r>
    </w:p>
    <w:p w14:paraId="05BFD74A" w14:textId="77777777" w:rsidR="0002717E" w:rsidRPr="003A34C9" w:rsidRDefault="0002717E" w:rsidP="00304767">
      <w:pPr>
        <w:spacing w:after="0" w:line="269" w:lineRule="auto"/>
        <w:jc w:val="center"/>
        <w:rPr>
          <w:rFonts w:ascii="Cambria" w:hAnsi="Cambria" w:cs="Arial"/>
          <w:b/>
          <w:sz w:val="20"/>
          <w:szCs w:val="20"/>
        </w:rPr>
      </w:pPr>
      <w:r w:rsidRPr="003A34C9">
        <w:rPr>
          <w:rFonts w:ascii="Cambria" w:hAnsi="Cambria" w:cs="Arial"/>
          <w:b/>
          <w:sz w:val="20"/>
          <w:szCs w:val="20"/>
        </w:rPr>
        <w:t>vypracovaná v</w:t>
      </w:r>
      <w:r w:rsidRPr="003A34C9">
        <w:rPr>
          <w:rFonts w:ascii="Cambria" w:hAnsi="Cambria" w:cs="Calibri"/>
          <w:b/>
          <w:sz w:val="20"/>
          <w:szCs w:val="20"/>
        </w:rPr>
        <w:t> </w:t>
      </w:r>
      <w:r w:rsidRPr="003A34C9">
        <w:rPr>
          <w:rFonts w:ascii="Cambria" w:hAnsi="Cambria" w:cs="Arial"/>
          <w:b/>
          <w:sz w:val="20"/>
          <w:szCs w:val="20"/>
        </w:rPr>
        <w:t>s</w:t>
      </w:r>
      <w:r w:rsidRPr="003A34C9">
        <w:rPr>
          <w:rFonts w:ascii="Cambria" w:hAnsi="Cambria" w:cs="Proba Pro"/>
          <w:b/>
          <w:sz w:val="20"/>
          <w:szCs w:val="20"/>
        </w:rPr>
        <w:t>ú</w:t>
      </w:r>
      <w:r w:rsidRPr="003A34C9">
        <w:rPr>
          <w:rFonts w:ascii="Cambria" w:hAnsi="Cambria" w:cs="Arial"/>
          <w:b/>
          <w:sz w:val="20"/>
          <w:szCs w:val="20"/>
        </w:rPr>
        <w:t>lade s § 24 ods. 3 zákona č. 343/2015 Z. z. o</w:t>
      </w:r>
      <w:r w:rsidRPr="003A34C9">
        <w:rPr>
          <w:rFonts w:ascii="Cambria" w:hAnsi="Cambria" w:cs="Calibri"/>
          <w:b/>
          <w:sz w:val="20"/>
          <w:szCs w:val="20"/>
        </w:rPr>
        <w:t> </w:t>
      </w:r>
      <w:r w:rsidRPr="003A34C9">
        <w:rPr>
          <w:rFonts w:ascii="Cambria" w:hAnsi="Cambria" w:cs="Arial"/>
          <w:b/>
          <w:sz w:val="20"/>
          <w:szCs w:val="20"/>
        </w:rPr>
        <w:t>verejnom obstarávaní a</w:t>
      </w:r>
      <w:r w:rsidRPr="003A34C9">
        <w:rPr>
          <w:rFonts w:ascii="Cambria" w:hAnsi="Cambria" w:cs="Calibri"/>
          <w:b/>
          <w:sz w:val="20"/>
          <w:szCs w:val="20"/>
        </w:rPr>
        <w:t> </w:t>
      </w:r>
      <w:r w:rsidRPr="003A34C9">
        <w:rPr>
          <w:rFonts w:ascii="Cambria" w:hAnsi="Cambria" w:cs="Arial"/>
          <w:b/>
          <w:sz w:val="20"/>
          <w:szCs w:val="20"/>
        </w:rPr>
        <w:t>o</w:t>
      </w:r>
      <w:r w:rsidRPr="003A34C9">
        <w:rPr>
          <w:rFonts w:ascii="Cambria" w:hAnsi="Cambria" w:cs="Calibri"/>
          <w:b/>
          <w:sz w:val="20"/>
          <w:szCs w:val="20"/>
        </w:rPr>
        <w:t> </w:t>
      </w:r>
      <w:r w:rsidRPr="003A34C9">
        <w:rPr>
          <w:rFonts w:ascii="Cambria" w:hAnsi="Cambria" w:cs="Arial"/>
          <w:b/>
          <w:sz w:val="20"/>
          <w:szCs w:val="20"/>
        </w:rPr>
        <w:t>zmene a</w:t>
      </w:r>
      <w:r w:rsidRPr="003A34C9">
        <w:rPr>
          <w:rFonts w:ascii="Cambria" w:hAnsi="Cambria" w:cs="Calibri"/>
          <w:b/>
          <w:sz w:val="20"/>
          <w:szCs w:val="20"/>
        </w:rPr>
        <w:t> </w:t>
      </w:r>
      <w:r w:rsidRPr="003A34C9">
        <w:rPr>
          <w:rFonts w:ascii="Cambria" w:hAnsi="Cambria" w:cs="Arial"/>
          <w:b/>
          <w:sz w:val="20"/>
          <w:szCs w:val="20"/>
        </w:rPr>
        <w:t>doplnen</w:t>
      </w:r>
      <w:r w:rsidRPr="003A34C9">
        <w:rPr>
          <w:rFonts w:ascii="Cambria" w:hAnsi="Cambria" w:cs="Proba Pro"/>
          <w:b/>
          <w:sz w:val="20"/>
          <w:szCs w:val="20"/>
        </w:rPr>
        <w:t>í</w:t>
      </w:r>
      <w:r w:rsidRPr="003A34C9">
        <w:rPr>
          <w:rFonts w:ascii="Cambria" w:hAnsi="Cambria" w:cs="Arial"/>
          <w:b/>
          <w:sz w:val="20"/>
          <w:szCs w:val="20"/>
        </w:rPr>
        <w:t xml:space="preserve"> niektor</w:t>
      </w:r>
      <w:r w:rsidRPr="003A34C9">
        <w:rPr>
          <w:rFonts w:ascii="Cambria" w:hAnsi="Cambria" w:cs="Proba Pro"/>
          <w:b/>
          <w:sz w:val="20"/>
          <w:szCs w:val="20"/>
        </w:rPr>
        <w:t>ý</w:t>
      </w:r>
      <w:r w:rsidRPr="003A34C9">
        <w:rPr>
          <w:rFonts w:ascii="Cambria" w:hAnsi="Cambria" w:cs="Arial"/>
          <w:b/>
          <w:sz w:val="20"/>
          <w:szCs w:val="20"/>
        </w:rPr>
        <w:t>ch z</w:t>
      </w:r>
      <w:r w:rsidRPr="003A34C9">
        <w:rPr>
          <w:rFonts w:ascii="Cambria" w:hAnsi="Cambria" w:cs="Proba Pro"/>
          <w:b/>
          <w:sz w:val="20"/>
          <w:szCs w:val="20"/>
        </w:rPr>
        <w:t>á</w:t>
      </w:r>
      <w:r w:rsidRPr="003A34C9">
        <w:rPr>
          <w:rFonts w:ascii="Cambria" w:hAnsi="Cambria" w:cs="Arial"/>
          <w:b/>
          <w:sz w:val="20"/>
          <w:szCs w:val="20"/>
        </w:rPr>
        <w:t>konov, v</w:t>
      </w:r>
      <w:r w:rsidRPr="003A34C9">
        <w:rPr>
          <w:rFonts w:ascii="Cambria" w:hAnsi="Cambria" w:cs="Calibri"/>
          <w:b/>
          <w:sz w:val="20"/>
          <w:szCs w:val="20"/>
        </w:rPr>
        <w:t> </w:t>
      </w:r>
      <w:r w:rsidRPr="003A34C9">
        <w:rPr>
          <w:rFonts w:ascii="Cambria" w:hAnsi="Cambria" w:cs="Arial"/>
          <w:b/>
          <w:sz w:val="20"/>
          <w:szCs w:val="20"/>
        </w:rPr>
        <w:t>platnom znen</w:t>
      </w:r>
      <w:r w:rsidRPr="003A34C9">
        <w:rPr>
          <w:rFonts w:ascii="Cambria" w:hAnsi="Cambria" w:cs="Proba Pro"/>
          <w:b/>
          <w:sz w:val="20"/>
          <w:szCs w:val="20"/>
        </w:rPr>
        <w:t>í</w:t>
      </w:r>
      <w:r w:rsidRPr="003A34C9">
        <w:rPr>
          <w:rFonts w:ascii="Cambria" w:hAnsi="Cambria" w:cs="Arial"/>
          <w:b/>
          <w:sz w:val="20"/>
          <w:szCs w:val="20"/>
        </w:rPr>
        <w:t xml:space="preserve"> (ďalej len „Zákon“)</w:t>
      </w:r>
    </w:p>
    <w:p w14:paraId="2BB2E4FC" w14:textId="77777777" w:rsidR="0002717E" w:rsidRPr="003A34C9" w:rsidRDefault="0002717E" w:rsidP="00304767">
      <w:pPr>
        <w:spacing w:after="0" w:line="269" w:lineRule="auto"/>
        <w:jc w:val="center"/>
        <w:rPr>
          <w:rFonts w:ascii="Cambria" w:hAnsi="Cambria" w:cs="Arial"/>
          <w:b/>
          <w:sz w:val="20"/>
          <w:szCs w:val="20"/>
          <w:lang w:val="en-US"/>
        </w:rPr>
      </w:pPr>
    </w:p>
    <w:p w14:paraId="09076CBE" w14:textId="77777777" w:rsidR="0002717E" w:rsidRPr="003A34C9" w:rsidRDefault="0002717E" w:rsidP="00304767">
      <w:pPr>
        <w:spacing w:after="0" w:line="269" w:lineRule="auto"/>
        <w:rPr>
          <w:rFonts w:ascii="Cambria" w:hAnsi="Cambria" w:cs="Arial"/>
          <w:sz w:val="20"/>
          <w:szCs w:val="20"/>
        </w:rPr>
      </w:pPr>
    </w:p>
    <w:p w14:paraId="7CE37CA7" w14:textId="77777777" w:rsidR="0002717E" w:rsidRPr="003A34C9" w:rsidRDefault="0002717E" w:rsidP="00304767">
      <w:pPr>
        <w:pStyle w:val="Odsekzoznamu"/>
        <w:numPr>
          <w:ilvl w:val="0"/>
          <w:numId w:val="1"/>
        </w:numPr>
        <w:spacing w:after="0" w:line="269" w:lineRule="auto"/>
        <w:ind w:left="426" w:hanging="426"/>
        <w:rPr>
          <w:rFonts w:ascii="Cambria" w:hAnsi="Cambria" w:cs="Arial"/>
          <w:b/>
          <w:sz w:val="20"/>
          <w:szCs w:val="20"/>
        </w:rPr>
      </w:pPr>
      <w:r w:rsidRPr="003A34C9">
        <w:rPr>
          <w:rFonts w:ascii="Cambria" w:hAnsi="Cambria" w:cs="Arial"/>
          <w:b/>
          <w:sz w:val="20"/>
          <w:szCs w:val="20"/>
        </w:rPr>
        <w:t xml:space="preserve">Identifikácia </w:t>
      </w:r>
      <w:r w:rsidR="003A34C9">
        <w:rPr>
          <w:rFonts w:ascii="Cambria" w:hAnsi="Cambria" w:cs="Arial"/>
          <w:b/>
          <w:sz w:val="20"/>
          <w:szCs w:val="20"/>
        </w:rPr>
        <w:t>verejného obstarávateľa</w:t>
      </w:r>
      <w:r w:rsidRPr="003A34C9">
        <w:rPr>
          <w:rFonts w:ascii="Cambria" w:hAnsi="Cambria" w:cs="Arial"/>
          <w:b/>
          <w:sz w:val="20"/>
          <w:szCs w:val="20"/>
        </w:rPr>
        <w:t xml:space="preserve"> podľa § </w:t>
      </w:r>
      <w:r w:rsidR="003A34C9">
        <w:rPr>
          <w:rFonts w:ascii="Cambria" w:hAnsi="Cambria" w:cs="Arial"/>
          <w:b/>
          <w:sz w:val="20"/>
          <w:szCs w:val="20"/>
        </w:rPr>
        <w:t>7</w:t>
      </w:r>
      <w:r w:rsidRPr="003A34C9">
        <w:rPr>
          <w:rFonts w:ascii="Cambria" w:hAnsi="Cambria" w:cs="Arial"/>
          <w:b/>
          <w:sz w:val="20"/>
          <w:szCs w:val="20"/>
        </w:rPr>
        <w:t xml:space="preserve"> ods. 1 písm. </w:t>
      </w:r>
      <w:r w:rsidR="003A34C9">
        <w:rPr>
          <w:rFonts w:ascii="Cambria" w:hAnsi="Cambria" w:cs="Arial"/>
          <w:b/>
          <w:sz w:val="20"/>
          <w:szCs w:val="20"/>
        </w:rPr>
        <w:t>b</w:t>
      </w:r>
      <w:r w:rsidRPr="003A34C9">
        <w:rPr>
          <w:rFonts w:ascii="Cambria" w:hAnsi="Cambria" w:cs="Arial"/>
          <w:b/>
          <w:sz w:val="20"/>
          <w:szCs w:val="20"/>
        </w:rPr>
        <w:t xml:space="preserve">) Zákona: </w:t>
      </w:r>
    </w:p>
    <w:p w14:paraId="3E320562" w14:textId="77777777" w:rsidR="0002717E" w:rsidRPr="003A34C9" w:rsidRDefault="0002717E" w:rsidP="00304767">
      <w:pPr>
        <w:spacing w:after="0" w:line="269" w:lineRule="auto"/>
        <w:ind w:left="4320" w:hanging="4320"/>
        <w:jc w:val="both"/>
        <w:rPr>
          <w:rFonts w:ascii="Cambria" w:hAnsi="Cambria" w:cs="Arial"/>
          <w:sz w:val="20"/>
          <w:szCs w:val="20"/>
        </w:rPr>
      </w:pPr>
    </w:p>
    <w:p w14:paraId="20055E0A" w14:textId="77777777" w:rsidR="003A34C9" w:rsidRPr="003A34C9" w:rsidRDefault="003A34C9" w:rsidP="003A34C9">
      <w:pPr>
        <w:spacing w:after="0" w:line="269" w:lineRule="auto"/>
        <w:ind w:left="4320" w:hanging="4320"/>
        <w:jc w:val="both"/>
        <w:rPr>
          <w:rFonts w:ascii="Cambria" w:hAnsi="Cambria" w:cs="Arial"/>
          <w:sz w:val="20"/>
          <w:szCs w:val="20"/>
        </w:rPr>
      </w:pPr>
      <w:r w:rsidRPr="003A34C9">
        <w:rPr>
          <w:rFonts w:ascii="Cambria" w:hAnsi="Cambria" w:cs="Arial"/>
          <w:sz w:val="20"/>
          <w:szCs w:val="20"/>
        </w:rPr>
        <w:t>Názov:</w:t>
      </w:r>
      <w:r w:rsidRPr="003A34C9">
        <w:rPr>
          <w:rFonts w:ascii="Cambria" w:hAnsi="Cambria" w:cs="Arial"/>
          <w:sz w:val="20"/>
          <w:szCs w:val="20"/>
        </w:rPr>
        <w:tab/>
        <w:t>Hlavné mesto Slovenskej republiky Bratislava</w:t>
      </w:r>
    </w:p>
    <w:p w14:paraId="08F56C85" w14:textId="77777777" w:rsidR="003A34C9" w:rsidRPr="003A34C9" w:rsidRDefault="003A34C9" w:rsidP="003A34C9">
      <w:pPr>
        <w:spacing w:after="0" w:line="269" w:lineRule="auto"/>
        <w:ind w:left="4320" w:hanging="4320"/>
        <w:jc w:val="both"/>
        <w:rPr>
          <w:rFonts w:ascii="Cambria" w:hAnsi="Cambria" w:cs="Arial"/>
          <w:sz w:val="20"/>
          <w:szCs w:val="20"/>
        </w:rPr>
      </w:pPr>
      <w:r w:rsidRPr="003A34C9">
        <w:rPr>
          <w:rFonts w:ascii="Cambria" w:hAnsi="Cambria" w:cs="Arial"/>
          <w:sz w:val="20"/>
          <w:szCs w:val="20"/>
        </w:rPr>
        <w:t>Sídlo:</w:t>
      </w:r>
      <w:r w:rsidRPr="003A34C9">
        <w:rPr>
          <w:rFonts w:ascii="Cambria" w:hAnsi="Cambria" w:cs="Arial"/>
          <w:sz w:val="20"/>
          <w:szCs w:val="20"/>
        </w:rPr>
        <w:tab/>
        <w:t>Primaciálne námestie 1, 81499 Bratislava - mestská časť                            Staré Mesto</w:t>
      </w:r>
    </w:p>
    <w:p w14:paraId="4A50D759" w14:textId="77777777" w:rsidR="003A34C9" w:rsidRPr="003A34C9" w:rsidRDefault="003A34C9" w:rsidP="003A34C9">
      <w:pPr>
        <w:spacing w:after="0" w:line="269" w:lineRule="auto"/>
        <w:ind w:left="4320" w:hanging="4320"/>
        <w:jc w:val="both"/>
        <w:rPr>
          <w:rFonts w:ascii="Cambria" w:hAnsi="Cambria" w:cs="Arial"/>
          <w:sz w:val="20"/>
          <w:szCs w:val="20"/>
        </w:rPr>
      </w:pPr>
      <w:r w:rsidRPr="003A34C9">
        <w:rPr>
          <w:rFonts w:ascii="Cambria" w:hAnsi="Cambria" w:cs="Arial"/>
          <w:sz w:val="20"/>
          <w:szCs w:val="20"/>
        </w:rPr>
        <w:t>Štatutárny orgán/štatutár:</w:t>
      </w:r>
      <w:r w:rsidRPr="003A34C9">
        <w:rPr>
          <w:rFonts w:ascii="Cambria" w:hAnsi="Cambria" w:cs="Arial"/>
          <w:sz w:val="20"/>
          <w:szCs w:val="20"/>
        </w:rPr>
        <w:tab/>
        <w:t xml:space="preserve">Ing. arch. Matúš Vallo – primátor </w:t>
      </w:r>
      <w:r w:rsidRPr="003A34C9">
        <w:rPr>
          <w:rFonts w:ascii="Cambria" w:hAnsi="Cambria" w:cs="Arial"/>
          <w:sz w:val="20"/>
          <w:szCs w:val="20"/>
        </w:rPr>
        <w:tab/>
      </w:r>
    </w:p>
    <w:p w14:paraId="48DEFDAA" w14:textId="37871DF7" w:rsidR="003A34C9" w:rsidRDefault="003A34C9" w:rsidP="000D7817">
      <w:pPr>
        <w:spacing w:after="0" w:line="269" w:lineRule="auto"/>
        <w:ind w:left="4320" w:hanging="4320"/>
        <w:jc w:val="both"/>
        <w:rPr>
          <w:rFonts w:ascii="Cambria" w:hAnsi="Cambria" w:cs="Arial"/>
          <w:sz w:val="20"/>
          <w:szCs w:val="20"/>
        </w:rPr>
      </w:pPr>
      <w:r w:rsidRPr="003A34C9">
        <w:rPr>
          <w:rFonts w:ascii="Cambria" w:hAnsi="Cambria" w:cs="Arial"/>
          <w:sz w:val="20"/>
          <w:szCs w:val="20"/>
        </w:rPr>
        <w:t>IČO:</w:t>
      </w:r>
      <w:r w:rsidRPr="003A34C9">
        <w:rPr>
          <w:rFonts w:ascii="Cambria" w:hAnsi="Cambria" w:cs="Arial"/>
          <w:sz w:val="20"/>
          <w:szCs w:val="20"/>
        </w:rPr>
        <w:tab/>
        <w:t xml:space="preserve">00603481 </w:t>
      </w:r>
    </w:p>
    <w:p w14:paraId="2DB63721" w14:textId="77777777" w:rsidR="0002717E" w:rsidRPr="003A34C9" w:rsidRDefault="0002717E" w:rsidP="003A34C9">
      <w:pPr>
        <w:spacing w:after="0" w:line="269" w:lineRule="auto"/>
        <w:ind w:left="4320" w:hanging="4320"/>
        <w:jc w:val="both"/>
        <w:rPr>
          <w:rFonts w:ascii="Cambria" w:hAnsi="Cambria" w:cs="Arial"/>
          <w:sz w:val="20"/>
          <w:szCs w:val="20"/>
        </w:rPr>
      </w:pPr>
      <w:r w:rsidRPr="003A34C9">
        <w:rPr>
          <w:rFonts w:ascii="Cambria" w:hAnsi="Cambria" w:cs="Arial"/>
          <w:sz w:val="20"/>
          <w:szCs w:val="20"/>
        </w:rPr>
        <w:t>(ďalej len „</w:t>
      </w:r>
      <w:r w:rsidRPr="003A34C9">
        <w:rPr>
          <w:rFonts w:ascii="Cambria" w:hAnsi="Cambria" w:cs="Arial"/>
          <w:b/>
          <w:sz w:val="20"/>
          <w:szCs w:val="20"/>
        </w:rPr>
        <w:t>Verejný obstarávateľ</w:t>
      </w:r>
      <w:r w:rsidRPr="003A34C9">
        <w:rPr>
          <w:rFonts w:ascii="Cambria" w:hAnsi="Cambria" w:cs="Arial"/>
          <w:sz w:val="20"/>
          <w:szCs w:val="20"/>
        </w:rPr>
        <w:t>“)</w:t>
      </w:r>
    </w:p>
    <w:p w14:paraId="426DB4B2" w14:textId="77777777" w:rsidR="0002717E" w:rsidRPr="003A34C9" w:rsidRDefault="0002717E" w:rsidP="00304767">
      <w:pPr>
        <w:spacing w:after="0" w:line="269" w:lineRule="auto"/>
        <w:ind w:left="4320" w:hanging="4320"/>
        <w:jc w:val="both"/>
        <w:rPr>
          <w:rFonts w:ascii="Cambria" w:hAnsi="Cambria" w:cs="Arial"/>
          <w:sz w:val="20"/>
          <w:szCs w:val="20"/>
        </w:rPr>
      </w:pPr>
    </w:p>
    <w:p w14:paraId="05B9E3FD" w14:textId="77777777" w:rsidR="0002717E" w:rsidRPr="003A34C9" w:rsidRDefault="0002717E" w:rsidP="00304767">
      <w:pPr>
        <w:pStyle w:val="Odsekzoznamu"/>
        <w:numPr>
          <w:ilvl w:val="0"/>
          <w:numId w:val="1"/>
        </w:numPr>
        <w:spacing w:after="0" w:line="269" w:lineRule="auto"/>
        <w:ind w:left="426" w:hanging="426"/>
        <w:rPr>
          <w:rFonts w:ascii="Cambria" w:hAnsi="Cambria" w:cs="Arial"/>
          <w:b/>
          <w:sz w:val="20"/>
          <w:szCs w:val="20"/>
        </w:rPr>
      </w:pPr>
      <w:r w:rsidRPr="003A34C9">
        <w:rPr>
          <w:rFonts w:ascii="Cambria" w:hAnsi="Cambria" w:cs="Arial"/>
          <w:b/>
          <w:sz w:val="20"/>
          <w:szCs w:val="20"/>
        </w:rPr>
        <w:t>Predmet zákazky:</w:t>
      </w:r>
    </w:p>
    <w:p w14:paraId="476C13C9" w14:textId="77777777" w:rsidR="0002717E" w:rsidRPr="003A34C9" w:rsidRDefault="0002717E" w:rsidP="00304767">
      <w:pPr>
        <w:spacing w:after="0" w:line="269" w:lineRule="auto"/>
        <w:ind w:left="4320" w:hanging="4320"/>
        <w:jc w:val="both"/>
        <w:rPr>
          <w:rFonts w:ascii="Cambria" w:hAnsi="Cambria" w:cs="Arial"/>
          <w:sz w:val="20"/>
          <w:szCs w:val="20"/>
        </w:rPr>
      </w:pPr>
      <w:r w:rsidRPr="003A34C9">
        <w:rPr>
          <w:rFonts w:ascii="Cambria" w:hAnsi="Cambria" w:cs="Arial"/>
          <w:sz w:val="20"/>
          <w:szCs w:val="20"/>
        </w:rPr>
        <w:t xml:space="preserve"> </w:t>
      </w:r>
    </w:p>
    <w:p w14:paraId="2316D66E" w14:textId="7BB3702C" w:rsidR="00234CDA" w:rsidRPr="00234CDA" w:rsidRDefault="003A34C9" w:rsidP="00234CDA">
      <w:pPr>
        <w:spacing w:after="0" w:line="269" w:lineRule="auto"/>
        <w:jc w:val="both"/>
        <w:rPr>
          <w:rFonts w:ascii="Cambria" w:hAnsi="Cambria"/>
          <w:sz w:val="20"/>
          <w:szCs w:val="20"/>
        </w:rPr>
      </w:pPr>
      <w:r w:rsidRPr="003A34C9">
        <w:rPr>
          <w:rFonts w:ascii="Cambria" w:hAnsi="Cambria"/>
          <w:sz w:val="20"/>
          <w:szCs w:val="20"/>
        </w:rPr>
        <w:t xml:space="preserve">Predmetom zákazky </w:t>
      </w:r>
      <w:bookmarkStart w:id="0" w:name="_Hlk13561726"/>
      <w:r w:rsidR="00234CDA">
        <w:rPr>
          <w:rFonts w:ascii="Cambria" w:hAnsi="Cambria"/>
          <w:sz w:val="20"/>
          <w:szCs w:val="20"/>
        </w:rPr>
        <w:t>bol</w:t>
      </w:r>
      <w:r w:rsidR="002E09D0">
        <w:rPr>
          <w:rFonts w:ascii="Cambria" w:hAnsi="Cambria"/>
          <w:sz w:val="20"/>
          <w:szCs w:val="20"/>
        </w:rPr>
        <w:t>a</w:t>
      </w:r>
      <w:r w:rsidR="00234CDA">
        <w:rPr>
          <w:rFonts w:ascii="Cambria" w:hAnsi="Cambria"/>
          <w:sz w:val="20"/>
          <w:szCs w:val="20"/>
        </w:rPr>
        <w:t xml:space="preserve"> </w:t>
      </w:r>
      <w:bookmarkEnd w:id="0"/>
      <w:r w:rsidR="002E09D0">
        <w:rPr>
          <w:rFonts w:asciiTheme="majorHAnsi" w:hAnsiTheme="majorHAnsi"/>
          <w:sz w:val="20"/>
          <w:szCs w:val="20"/>
        </w:rPr>
        <w:t>e</w:t>
      </w:r>
      <w:r w:rsidR="002E09D0" w:rsidRPr="002E09D0">
        <w:rPr>
          <w:rFonts w:asciiTheme="majorHAnsi" w:hAnsiTheme="majorHAnsi"/>
          <w:sz w:val="20"/>
          <w:szCs w:val="20"/>
        </w:rPr>
        <w:t>nergeticky efektívna rekonštrukcia budov Hl. mesta SR Bratislavy s využitím garantovanej energetickej služby – balík GES 02</w:t>
      </w:r>
    </w:p>
    <w:p w14:paraId="183FECAD" w14:textId="2CED34FF" w:rsidR="0002717E" w:rsidRDefault="0002717E" w:rsidP="00304767">
      <w:pPr>
        <w:spacing w:after="0" w:line="269" w:lineRule="auto"/>
        <w:jc w:val="both"/>
        <w:rPr>
          <w:rFonts w:ascii="Cambria" w:hAnsi="Cambria"/>
          <w:sz w:val="20"/>
          <w:szCs w:val="20"/>
        </w:rPr>
      </w:pPr>
    </w:p>
    <w:p w14:paraId="6767567A" w14:textId="77777777" w:rsidR="003A34C9" w:rsidRPr="003A34C9" w:rsidRDefault="003A34C9" w:rsidP="00304767">
      <w:pPr>
        <w:spacing w:after="0" w:line="269" w:lineRule="auto"/>
        <w:jc w:val="both"/>
        <w:rPr>
          <w:rFonts w:ascii="Cambria" w:hAnsi="Cambria" w:cs="Arial"/>
          <w:sz w:val="20"/>
          <w:szCs w:val="20"/>
        </w:rPr>
      </w:pPr>
    </w:p>
    <w:p w14:paraId="026D77EA" w14:textId="442418DA" w:rsidR="0002717E" w:rsidRPr="003A34C9" w:rsidRDefault="0002717E" w:rsidP="00304767">
      <w:pPr>
        <w:pStyle w:val="Odsekzoznamu"/>
        <w:numPr>
          <w:ilvl w:val="0"/>
          <w:numId w:val="1"/>
        </w:numPr>
        <w:spacing w:after="0" w:line="269" w:lineRule="auto"/>
        <w:ind w:left="426" w:hanging="426"/>
        <w:rPr>
          <w:rFonts w:ascii="Cambria" w:hAnsi="Cambria" w:cs="Arial"/>
          <w:b/>
          <w:sz w:val="20"/>
          <w:szCs w:val="20"/>
        </w:rPr>
      </w:pPr>
      <w:r w:rsidRPr="003A34C9">
        <w:rPr>
          <w:rFonts w:ascii="Cambria" w:hAnsi="Cambria" w:cs="Arial"/>
          <w:b/>
          <w:sz w:val="20"/>
          <w:szCs w:val="20"/>
        </w:rPr>
        <w:t>Predpokladaná hodnota zákazky</w:t>
      </w:r>
      <w:r w:rsidR="00753DA5">
        <w:rPr>
          <w:rFonts w:ascii="Cambria" w:hAnsi="Cambria" w:cs="Arial"/>
          <w:b/>
          <w:sz w:val="20"/>
          <w:szCs w:val="20"/>
        </w:rPr>
        <w:t xml:space="preserve"> a vysúťažená cena</w:t>
      </w:r>
      <w:r w:rsidRPr="003A34C9">
        <w:rPr>
          <w:rFonts w:ascii="Cambria" w:hAnsi="Cambria" w:cs="Arial"/>
          <w:b/>
          <w:sz w:val="20"/>
          <w:szCs w:val="20"/>
        </w:rPr>
        <w:t>:</w:t>
      </w:r>
    </w:p>
    <w:p w14:paraId="3C9E0D92" w14:textId="77777777" w:rsidR="0002717E" w:rsidRPr="003A34C9" w:rsidRDefault="0002717E" w:rsidP="00304767">
      <w:pPr>
        <w:spacing w:after="0" w:line="269" w:lineRule="auto"/>
        <w:jc w:val="both"/>
        <w:rPr>
          <w:rFonts w:ascii="Cambria" w:hAnsi="Cambria" w:cs="Arial"/>
          <w:sz w:val="20"/>
          <w:szCs w:val="20"/>
        </w:rPr>
      </w:pPr>
    </w:p>
    <w:p w14:paraId="167B7169" w14:textId="25556E42" w:rsidR="0002717E" w:rsidRPr="00A67173" w:rsidRDefault="00753DA5" w:rsidP="00304767">
      <w:pPr>
        <w:spacing w:after="0" w:line="269" w:lineRule="auto"/>
        <w:jc w:val="both"/>
        <w:rPr>
          <w:rFonts w:ascii="Cambria" w:hAnsi="Cambria" w:cs="Arial"/>
          <w:sz w:val="20"/>
          <w:szCs w:val="20"/>
          <w:shd w:val="clear" w:color="auto" w:fill="FFFFFF"/>
        </w:rPr>
      </w:pPr>
      <w:r w:rsidRPr="00753DA5">
        <w:rPr>
          <w:rFonts w:ascii="Cambria" w:hAnsi="Cambria"/>
          <w:sz w:val="20"/>
          <w:szCs w:val="20"/>
        </w:rPr>
        <w:t xml:space="preserve">Predpokladaná hodnota: </w:t>
      </w:r>
      <w:r w:rsidR="002E09D0" w:rsidRPr="002E09D0">
        <w:rPr>
          <w:rFonts w:ascii="Cambria" w:hAnsi="Cambria"/>
          <w:sz w:val="20"/>
          <w:szCs w:val="20"/>
        </w:rPr>
        <w:t>4 387 220</w:t>
      </w:r>
      <w:r w:rsidR="0002717E" w:rsidRPr="00A67173">
        <w:rPr>
          <w:rFonts w:ascii="Cambria" w:hAnsi="Cambria" w:cs="Arial"/>
          <w:sz w:val="20"/>
          <w:szCs w:val="20"/>
          <w:shd w:val="clear" w:color="auto" w:fill="FFFFFF"/>
        </w:rPr>
        <w:t xml:space="preserve"> </w:t>
      </w:r>
      <w:r w:rsidR="00A67173" w:rsidRPr="00A67173">
        <w:rPr>
          <w:rFonts w:ascii="Cambria" w:hAnsi="Cambria" w:cs="Arial"/>
          <w:sz w:val="20"/>
          <w:szCs w:val="20"/>
          <w:shd w:val="clear" w:color="auto" w:fill="FFFFFF"/>
        </w:rPr>
        <w:t>eur</w:t>
      </w:r>
      <w:r w:rsidR="0002717E" w:rsidRPr="00A67173">
        <w:rPr>
          <w:rFonts w:ascii="Cambria" w:hAnsi="Cambria" w:cs="Arial"/>
          <w:sz w:val="20"/>
          <w:szCs w:val="20"/>
          <w:shd w:val="clear" w:color="auto" w:fill="FFFFFF"/>
        </w:rPr>
        <w:t xml:space="preserve"> bez DPH</w:t>
      </w:r>
    </w:p>
    <w:p w14:paraId="1FE5BB9A" w14:textId="77777777" w:rsidR="00234CDA" w:rsidRDefault="00234CDA" w:rsidP="00753DA5">
      <w:pPr>
        <w:spacing w:after="0" w:line="269" w:lineRule="auto"/>
        <w:jc w:val="both"/>
        <w:rPr>
          <w:rFonts w:ascii="Cambria" w:hAnsi="Cambria"/>
          <w:sz w:val="20"/>
          <w:szCs w:val="20"/>
        </w:rPr>
      </w:pPr>
    </w:p>
    <w:p w14:paraId="60923C20" w14:textId="03D866A0" w:rsidR="00753DA5" w:rsidRPr="003A34C9" w:rsidRDefault="00753DA5" w:rsidP="00753DA5">
      <w:pPr>
        <w:spacing w:after="0" w:line="269" w:lineRule="auto"/>
        <w:jc w:val="both"/>
        <w:rPr>
          <w:rFonts w:ascii="Cambria" w:hAnsi="Cambria" w:cs="Arial"/>
          <w:sz w:val="20"/>
          <w:szCs w:val="20"/>
          <w:shd w:val="clear" w:color="auto" w:fill="FFFFFF"/>
        </w:rPr>
      </w:pPr>
      <w:r w:rsidRPr="00A67173">
        <w:rPr>
          <w:rFonts w:ascii="Cambria" w:hAnsi="Cambria"/>
          <w:sz w:val="20"/>
          <w:szCs w:val="20"/>
        </w:rPr>
        <w:t>Vysúťažená cena:</w:t>
      </w:r>
      <w:r w:rsidR="00A67173" w:rsidRPr="00A67173">
        <w:rPr>
          <w:rFonts w:ascii="Cambria" w:hAnsi="Cambria"/>
          <w:sz w:val="20"/>
          <w:szCs w:val="20"/>
        </w:rPr>
        <w:t xml:space="preserve"> </w:t>
      </w:r>
      <w:r w:rsidR="00234CDA">
        <w:rPr>
          <w:rFonts w:ascii="Cambria" w:hAnsi="Cambria"/>
          <w:sz w:val="20"/>
          <w:szCs w:val="20"/>
        </w:rPr>
        <w:t>neuplatňuje sa</w:t>
      </w:r>
    </w:p>
    <w:p w14:paraId="18BA8BAF" w14:textId="02B49DBB" w:rsidR="0002717E" w:rsidRPr="003A34C9" w:rsidRDefault="00234CDA" w:rsidP="00304767">
      <w:pPr>
        <w:spacing w:after="0" w:line="269" w:lineRule="auto"/>
        <w:jc w:val="both"/>
        <w:rPr>
          <w:rFonts w:ascii="Cambria" w:hAnsi="Cambria" w:cs="Arial"/>
          <w:sz w:val="20"/>
          <w:szCs w:val="20"/>
          <w:shd w:val="clear" w:color="auto" w:fill="FFFFFF"/>
        </w:rPr>
      </w:pPr>
      <w:r>
        <w:rPr>
          <w:rFonts w:ascii="Cambria" w:hAnsi="Cambria" w:cs="Arial"/>
          <w:sz w:val="20"/>
          <w:szCs w:val="20"/>
          <w:shd w:val="clear" w:color="auto" w:fill="FFFFFF"/>
        </w:rPr>
        <w:t xml:space="preserve"> </w:t>
      </w:r>
    </w:p>
    <w:p w14:paraId="478D7770" w14:textId="77777777" w:rsidR="0002717E" w:rsidRPr="003A34C9" w:rsidRDefault="0002717E" w:rsidP="00304767">
      <w:pPr>
        <w:pStyle w:val="Odsekzoznamu"/>
        <w:numPr>
          <w:ilvl w:val="0"/>
          <w:numId w:val="1"/>
        </w:numPr>
        <w:spacing w:after="0" w:line="269" w:lineRule="auto"/>
        <w:ind w:left="426" w:hanging="426"/>
        <w:rPr>
          <w:rFonts w:ascii="Cambria" w:hAnsi="Cambria" w:cs="Arial"/>
          <w:b/>
          <w:sz w:val="20"/>
          <w:szCs w:val="20"/>
        </w:rPr>
      </w:pPr>
      <w:r w:rsidRPr="003A34C9">
        <w:rPr>
          <w:rFonts w:ascii="Cambria" w:hAnsi="Cambria" w:cs="Arial"/>
          <w:b/>
          <w:sz w:val="20"/>
          <w:szCs w:val="20"/>
        </w:rPr>
        <w:t>Použitý postup zadávania zákazky:</w:t>
      </w:r>
    </w:p>
    <w:p w14:paraId="192BECBD" w14:textId="77777777" w:rsidR="0002717E" w:rsidRPr="003A34C9" w:rsidRDefault="0002717E" w:rsidP="00304767">
      <w:pPr>
        <w:pStyle w:val="Odsekzoznamu"/>
        <w:spacing w:after="0" w:line="269" w:lineRule="auto"/>
        <w:rPr>
          <w:rFonts w:ascii="Cambria" w:hAnsi="Cambria" w:cs="Arial"/>
          <w:b/>
          <w:sz w:val="20"/>
          <w:szCs w:val="20"/>
        </w:rPr>
      </w:pPr>
    </w:p>
    <w:p w14:paraId="4525DB76" w14:textId="77777777" w:rsidR="0002717E" w:rsidRPr="003A34C9" w:rsidRDefault="0002717E" w:rsidP="00304767">
      <w:pPr>
        <w:spacing w:after="0" w:line="269" w:lineRule="auto"/>
        <w:rPr>
          <w:rFonts w:ascii="Cambria" w:hAnsi="Cambria" w:cs="Arial"/>
          <w:sz w:val="20"/>
          <w:szCs w:val="20"/>
        </w:rPr>
      </w:pPr>
      <w:r w:rsidRPr="003A34C9">
        <w:rPr>
          <w:rFonts w:ascii="Cambria" w:hAnsi="Cambria" w:cs="Arial"/>
          <w:sz w:val="20"/>
          <w:szCs w:val="20"/>
        </w:rPr>
        <w:t xml:space="preserve">Verejná súťaž </w:t>
      </w:r>
    </w:p>
    <w:p w14:paraId="58611EAC" w14:textId="77777777" w:rsidR="0002717E" w:rsidRPr="003A34C9" w:rsidRDefault="0002717E" w:rsidP="00304767">
      <w:pPr>
        <w:spacing w:after="0" w:line="269" w:lineRule="auto"/>
        <w:rPr>
          <w:rFonts w:ascii="Cambria" w:hAnsi="Cambria" w:cs="Arial"/>
          <w:sz w:val="20"/>
          <w:szCs w:val="20"/>
        </w:rPr>
      </w:pPr>
    </w:p>
    <w:p w14:paraId="20E2A067" w14:textId="77777777" w:rsidR="0002717E" w:rsidRPr="003A34C9" w:rsidRDefault="0002717E" w:rsidP="00304767">
      <w:pPr>
        <w:pStyle w:val="Odsekzoznamu"/>
        <w:numPr>
          <w:ilvl w:val="0"/>
          <w:numId w:val="1"/>
        </w:numPr>
        <w:spacing w:after="0" w:line="269" w:lineRule="auto"/>
        <w:ind w:left="426" w:hanging="426"/>
        <w:rPr>
          <w:rFonts w:ascii="Cambria" w:hAnsi="Cambria" w:cs="Arial"/>
          <w:b/>
          <w:sz w:val="20"/>
          <w:szCs w:val="20"/>
        </w:rPr>
      </w:pPr>
      <w:r w:rsidRPr="003A34C9">
        <w:rPr>
          <w:rFonts w:ascii="Cambria" w:hAnsi="Cambria" w:cs="Arial"/>
          <w:b/>
          <w:sz w:val="20"/>
          <w:szCs w:val="20"/>
        </w:rPr>
        <w:t>Zverejnené oznámenia:</w:t>
      </w:r>
    </w:p>
    <w:p w14:paraId="313042D2" w14:textId="77777777" w:rsidR="0002717E" w:rsidRPr="003A34C9" w:rsidRDefault="0002717E" w:rsidP="00304767">
      <w:pPr>
        <w:spacing w:after="0" w:line="269" w:lineRule="auto"/>
        <w:ind w:left="4320" w:hanging="4320"/>
        <w:jc w:val="both"/>
        <w:rPr>
          <w:rFonts w:ascii="Cambria" w:hAnsi="Cambria" w:cs="Arial"/>
          <w:sz w:val="20"/>
          <w:szCs w:val="20"/>
        </w:rPr>
      </w:pPr>
    </w:p>
    <w:p w14:paraId="23803CFF" w14:textId="618A58A9" w:rsidR="0002717E" w:rsidRPr="003A34C9" w:rsidRDefault="0002717E" w:rsidP="00A67173">
      <w:pPr>
        <w:spacing w:after="0" w:line="269" w:lineRule="auto"/>
        <w:jc w:val="both"/>
        <w:rPr>
          <w:rFonts w:ascii="Cambria" w:hAnsi="Cambria" w:cs="Arial"/>
          <w:sz w:val="20"/>
          <w:szCs w:val="20"/>
        </w:rPr>
      </w:pPr>
      <w:r w:rsidRPr="00E878EB">
        <w:rPr>
          <w:rFonts w:ascii="Cambria" w:hAnsi="Cambria" w:cs="Arial"/>
          <w:sz w:val="20"/>
          <w:szCs w:val="20"/>
        </w:rPr>
        <w:t xml:space="preserve">Oznámenie o vyhlásení verejného obstarávania uverejnené </w:t>
      </w:r>
      <w:r w:rsidR="00234CDA" w:rsidRPr="00234CDA">
        <w:rPr>
          <w:rFonts w:ascii="Cambria" w:hAnsi="Cambria" w:cs="Arial"/>
          <w:sz w:val="20"/>
          <w:szCs w:val="20"/>
        </w:rPr>
        <w:t xml:space="preserve">v Úradnom vestníku Európskej únie </w:t>
      </w:r>
      <w:r w:rsidR="00234CDA">
        <w:rPr>
          <w:rFonts w:ascii="Cambria" w:hAnsi="Cambria" w:cs="Arial"/>
          <w:sz w:val="20"/>
          <w:szCs w:val="20"/>
        </w:rPr>
        <w:br/>
      </w:r>
      <w:r w:rsidR="00234CDA" w:rsidRPr="00234CDA">
        <w:rPr>
          <w:rFonts w:ascii="Cambria" w:hAnsi="Cambria" w:cs="Arial"/>
          <w:sz w:val="20"/>
          <w:szCs w:val="20"/>
        </w:rPr>
        <w:t xml:space="preserve">č. </w:t>
      </w:r>
      <w:r w:rsidR="002E09D0" w:rsidRPr="002E09D0">
        <w:rPr>
          <w:rFonts w:ascii="Cambria" w:hAnsi="Cambria" w:cs="Arial"/>
          <w:sz w:val="20"/>
          <w:szCs w:val="20"/>
        </w:rPr>
        <w:t>2019/S 166-406826</w:t>
      </w:r>
      <w:r w:rsidR="00234CDA" w:rsidRPr="00234CDA">
        <w:rPr>
          <w:rFonts w:ascii="Cambria" w:hAnsi="Cambria" w:cs="Arial"/>
          <w:sz w:val="20"/>
          <w:szCs w:val="20"/>
        </w:rPr>
        <w:t xml:space="preserve"> zo dňa 2</w:t>
      </w:r>
      <w:r w:rsidR="002E09D0">
        <w:rPr>
          <w:rFonts w:ascii="Cambria" w:hAnsi="Cambria" w:cs="Arial"/>
          <w:sz w:val="20"/>
          <w:szCs w:val="20"/>
        </w:rPr>
        <w:t>9</w:t>
      </w:r>
      <w:r w:rsidR="00234CDA" w:rsidRPr="00234CDA">
        <w:rPr>
          <w:rFonts w:ascii="Cambria" w:hAnsi="Cambria" w:cs="Arial"/>
          <w:sz w:val="20"/>
          <w:szCs w:val="20"/>
        </w:rPr>
        <w:t>. 0</w:t>
      </w:r>
      <w:r w:rsidR="002E09D0">
        <w:rPr>
          <w:rFonts w:ascii="Cambria" w:hAnsi="Cambria" w:cs="Arial"/>
          <w:sz w:val="20"/>
          <w:szCs w:val="20"/>
        </w:rPr>
        <w:t>8</w:t>
      </w:r>
      <w:r w:rsidR="00234CDA" w:rsidRPr="00234CDA">
        <w:rPr>
          <w:rFonts w:ascii="Cambria" w:hAnsi="Cambria" w:cs="Arial"/>
          <w:sz w:val="20"/>
          <w:szCs w:val="20"/>
        </w:rPr>
        <w:t xml:space="preserve">. 2019 a vo Vestníku verejného obstarávania </w:t>
      </w:r>
      <w:r w:rsidR="002E09D0" w:rsidRPr="002E09D0">
        <w:rPr>
          <w:rFonts w:asciiTheme="majorHAnsi" w:hAnsiTheme="majorHAnsi"/>
          <w:sz w:val="20"/>
          <w:szCs w:val="20"/>
        </w:rPr>
        <w:t>175/2019 dňa 30. 08. 2019 pod označením 23647 – MSS</w:t>
      </w:r>
      <w:r w:rsidR="00234CDA" w:rsidRPr="00234CDA">
        <w:rPr>
          <w:rFonts w:ascii="Cambria" w:hAnsi="Cambria" w:cs="Arial"/>
          <w:sz w:val="20"/>
          <w:szCs w:val="20"/>
        </w:rPr>
        <w:t xml:space="preserve"> </w:t>
      </w:r>
      <w:r w:rsidRPr="00E878EB">
        <w:rPr>
          <w:rFonts w:ascii="Cambria" w:hAnsi="Cambria" w:cs="Arial"/>
          <w:sz w:val="20"/>
          <w:szCs w:val="20"/>
        </w:rPr>
        <w:t>(ďalej spolu len „</w:t>
      </w:r>
      <w:r w:rsidRPr="00E878EB">
        <w:rPr>
          <w:rFonts w:ascii="Cambria" w:hAnsi="Cambria" w:cs="Arial"/>
          <w:b/>
          <w:sz w:val="20"/>
          <w:szCs w:val="20"/>
        </w:rPr>
        <w:t>Oznámenie</w:t>
      </w:r>
      <w:r w:rsidRPr="00E878EB">
        <w:rPr>
          <w:rFonts w:ascii="Cambria" w:hAnsi="Cambria" w:cs="Arial"/>
          <w:sz w:val="20"/>
          <w:szCs w:val="20"/>
        </w:rPr>
        <w:t>“)</w:t>
      </w:r>
    </w:p>
    <w:p w14:paraId="09B0B9CA" w14:textId="77777777" w:rsidR="0002717E" w:rsidRPr="003A34C9" w:rsidRDefault="0002717E" w:rsidP="00304767">
      <w:pPr>
        <w:spacing w:after="0" w:line="269" w:lineRule="auto"/>
        <w:rPr>
          <w:rFonts w:ascii="Cambria" w:hAnsi="Cambria" w:cs="Arial"/>
          <w:b/>
          <w:sz w:val="20"/>
          <w:szCs w:val="20"/>
        </w:rPr>
      </w:pPr>
    </w:p>
    <w:p w14:paraId="5BD421DE" w14:textId="77777777" w:rsidR="0002717E" w:rsidRPr="003A34C9" w:rsidRDefault="0002717E" w:rsidP="00304767">
      <w:pPr>
        <w:pStyle w:val="Odsekzoznamu"/>
        <w:numPr>
          <w:ilvl w:val="0"/>
          <w:numId w:val="1"/>
        </w:numPr>
        <w:spacing w:after="0" w:line="269" w:lineRule="auto"/>
        <w:ind w:left="426" w:hanging="426"/>
        <w:rPr>
          <w:rFonts w:ascii="Cambria" w:hAnsi="Cambria" w:cs="Arial"/>
          <w:b/>
          <w:sz w:val="20"/>
          <w:szCs w:val="20"/>
        </w:rPr>
      </w:pPr>
      <w:r w:rsidRPr="003A34C9">
        <w:rPr>
          <w:rFonts w:ascii="Cambria" w:hAnsi="Cambria" w:cs="Arial"/>
          <w:b/>
          <w:sz w:val="20"/>
          <w:szCs w:val="20"/>
        </w:rPr>
        <w:t>Odôvodnenie nerozdelenia zákazky na časti</w:t>
      </w:r>
    </w:p>
    <w:p w14:paraId="74243748" w14:textId="77777777" w:rsidR="0002717E" w:rsidRPr="003A34C9" w:rsidRDefault="0002717E" w:rsidP="00304767">
      <w:pPr>
        <w:spacing w:after="0" w:line="269" w:lineRule="auto"/>
        <w:rPr>
          <w:rFonts w:ascii="Cambria" w:hAnsi="Cambria" w:cs="Arial"/>
          <w:b/>
          <w:sz w:val="20"/>
          <w:szCs w:val="20"/>
        </w:rPr>
      </w:pPr>
    </w:p>
    <w:p w14:paraId="43296694" w14:textId="102E71F1" w:rsidR="00810F40" w:rsidRDefault="00810F40" w:rsidP="00810F40">
      <w:pPr>
        <w:spacing w:after="0" w:line="269" w:lineRule="auto"/>
        <w:jc w:val="both"/>
        <w:rPr>
          <w:rFonts w:ascii="Cambria" w:hAnsi="Cambria" w:cs="Arial"/>
          <w:sz w:val="20"/>
          <w:szCs w:val="20"/>
        </w:rPr>
      </w:pPr>
      <w:r w:rsidRPr="00810F40">
        <w:rPr>
          <w:rFonts w:ascii="Cambria" w:hAnsi="Cambria" w:cs="Arial"/>
          <w:sz w:val="20"/>
          <w:szCs w:val="20"/>
        </w:rPr>
        <w:t xml:space="preserve">Predmet zákazky je koncipovaný ako rekonštrukcia a modernizácia energetického hospodárstva a niektorých ďalších prvkov vybraného súboru budov vo vlastníctve Hlavného mesta Slovenskej republiky Bratislava, ktorej cieľom je zvýšenie energetickej efektívnosti a tiež zlepšenie faktického stavu týchto budov. </w:t>
      </w:r>
    </w:p>
    <w:p w14:paraId="60D5F39B" w14:textId="77777777" w:rsidR="00810F40" w:rsidRPr="00810F40" w:rsidRDefault="00810F40" w:rsidP="00810F40">
      <w:pPr>
        <w:spacing w:after="0" w:line="269" w:lineRule="auto"/>
        <w:jc w:val="both"/>
        <w:rPr>
          <w:rFonts w:ascii="Cambria" w:hAnsi="Cambria" w:cs="Arial"/>
          <w:sz w:val="20"/>
          <w:szCs w:val="20"/>
        </w:rPr>
      </w:pPr>
    </w:p>
    <w:p w14:paraId="265121D2" w14:textId="0AEF5EF9" w:rsidR="00810F40" w:rsidRDefault="00810F40" w:rsidP="00810F40">
      <w:pPr>
        <w:spacing w:after="0" w:line="269" w:lineRule="auto"/>
        <w:jc w:val="both"/>
        <w:rPr>
          <w:rFonts w:ascii="Cambria" w:hAnsi="Cambria" w:cs="Arial"/>
          <w:sz w:val="20"/>
          <w:szCs w:val="20"/>
        </w:rPr>
      </w:pPr>
      <w:r w:rsidRPr="00810F40">
        <w:rPr>
          <w:rFonts w:ascii="Cambria" w:hAnsi="Cambria" w:cs="Arial"/>
          <w:sz w:val="20"/>
          <w:szCs w:val="20"/>
        </w:rPr>
        <w:t>Predmet zákazky je iba jedna časť komplexného projektu zameraného na celkovú rekonštrukciu verejných budov a ich energetického hospodárstva, ktorý bude spolufinancovaný z prostriedkov Projektu ELENA na základe grantovej dohody uzatvorenou s Európskou Investičnou Bankou na základe zmluvy č. ELENA-2014-046.</w:t>
      </w:r>
    </w:p>
    <w:p w14:paraId="1C1B2BE2" w14:textId="77777777" w:rsidR="00810F40" w:rsidRPr="00810F40" w:rsidRDefault="00810F40" w:rsidP="00810F40">
      <w:pPr>
        <w:spacing w:after="0" w:line="269" w:lineRule="auto"/>
        <w:jc w:val="both"/>
        <w:rPr>
          <w:rFonts w:ascii="Cambria" w:hAnsi="Cambria" w:cs="Arial"/>
          <w:sz w:val="20"/>
          <w:szCs w:val="20"/>
        </w:rPr>
      </w:pPr>
    </w:p>
    <w:p w14:paraId="118B37E7" w14:textId="596F4422" w:rsidR="00810F40" w:rsidRDefault="00810F40" w:rsidP="00810F40">
      <w:pPr>
        <w:spacing w:after="0" w:line="269" w:lineRule="auto"/>
        <w:jc w:val="both"/>
        <w:rPr>
          <w:rFonts w:ascii="Cambria" w:hAnsi="Cambria" w:cs="Arial"/>
          <w:sz w:val="20"/>
          <w:szCs w:val="20"/>
        </w:rPr>
      </w:pPr>
      <w:r w:rsidRPr="00810F40">
        <w:rPr>
          <w:rFonts w:ascii="Cambria" w:hAnsi="Cambria" w:cs="Arial"/>
          <w:sz w:val="20"/>
          <w:szCs w:val="20"/>
        </w:rPr>
        <w:t xml:space="preserve">Prioritným cieľom je zabezpečiť tieto rekonštrukcie, najmä časti týkajúce sa energetického hospodárstva budov, prostredníctvom tzv. garantovanej energetickej služby na základe zmluvy o energetickej </w:t>
      </w:r>
      <w:r w:rsidRPr="00810F40">
        <w:rPr>
          <w:rFonts w:ascii="Cambria" w:hAnsi="Cambria" w:cs="Arial"/>
          <w:sz w:val="20"/>
          <w:szCs w:val="20"/>
        </w:rPr>
        <w:lastRenderedPageBreak/>
        <w:t>efektívnosti uzatvorenej podľa ustanovení § 17 a § 18 zákona č. 321/2014 Z. z. o energetickej efektívnosti a o zmene a doplnení niektorých zákonov v znení neskorších predpisov (ďalej aj ako „</w:t>
      </w:r>
      <w:r w:rsidRPr="00810F40">
        <w:rPr>
          <w:rFonts w:ascii="Cambria" w:hAnsi="Cambria" w:cs="Arial"/>
          <w:b/>
          <w:sz w:val="20"/>
          <w:szCs w:val="20"/>
        </w:rPr>
        <w:t>Zákon o energetickej efektívnosti</w:t>
      </w:r>
      <w:r w:rsidRPr="00810F40">
        <w:rPr>
          <w:rFonts w:ascii="Cambria" w:hAnsi="Cambria" w:cs="Arial"/>
          <w:sz w:val="20"/>
          <w:szCs w:val="20"/>
        </w:rPr>
        <w:t>“). Podľa ustanovenia § 18 ods. 6 Zákona o energetickej efektívnosti pokiaľ je zmluva o energetickej efektívnosti pre verejný sektor v súlade so vzorom zmluvy o energetickej efektívnosti pre verejný sektor a metodikou na prípravu a realizáciu garantovanej energetickej služby pre verejný sektor, považuje sa za zmluvu o energetickej efektívnosti pre verejný sektor, ktorá nemá dôsledky na výšku dlhu verejnej správy v jednotnej metodike platnej pre Európsku úniu.</w:t>
      </w:r>
    </w:p>
    <w:p w14:paraId="1C95ADB0" w14:textId="77777777" w:rsidR="00810F40" w:rsidRPr="00810F40" w:rsidRDefault="00810F40" w:rsidP="00810F40">
      <w:pPr>
        <w:spacing w:after="0" w:line="269" w:lineRule="auto"/>
        <w:jc w:val="both"/>
        <w:rPr>
          <w:rFonts w:ascii="Cambria" w:hAnsi="Cambria" w:cs="Arial"/>
          <w:sz w:val="20"/>
          <w:szCs w:val="20"/>
        </w:rPr>
      </w:pPr>
    </w:p>
    <w:p w14:paraId="24EC5EC1" w14:textId="3534EA8B" w:rsidR="00810F40" w:rsidRDefault="00810F40" w:rsidP="00810F40">
      <w:pPr>
        <w:spacing w:after="0" w:line="269" w:lineRule="auto"/>
        <w:jc w:val="both"/>
        <w:rPr>
          <w:rFonts w:ascii="Cambria" w:hAnsi="Cambria" w:cs="Arial"/>
          <w:sz w:val="20"/>
          <w:szCs w:val="20"/>
        </w:rPr>
      </w:pPr>
      <w:r w:rsidRPr="00810F40">
        <w:rPr>
          <w:rFonts w:ascii="Cambria" w:hAnsi="Cambria" w:cs="Arial"/>
          <w:sz w:val="20"/>
          <w:szCs w:val="20"/>
        </w:rPr>
        <w:t>Parametre projektu, resp. vybrané opatrenia v rámci rozsahu predmetu zákazky majú potenciál generovať dostatočné úspory na to, aby mohli byť implementované na základe zmluvy o energetickej efektívnosti pre verejný sektor podľa Zákona o energetickej efektívnosti tak, aby nemali dôsledky na výšku dlhu verejnej správy v jednotnej metodike platnej pre Európsku úniu. Niektoré budovy v rámci vybraného súboru budov, ktorých rekonštrukcia je predmetom zákazky však nemajú tento potenciál sami o sebe a na to, aby mohla byť naplnená podstata zmluvy o energetickej efektívnosti pre verejný sektor podľa Zákona o energetickej efektívnosti (nulový vplyv na výšku dlhu verejnej správy) musia byť jednotlivé budovy ekonomicky pospájané do celku, ktorý spoločne napĺňa potenciál generovať dostatočné úspory na to, aby tieto časti rekonštrukcie mohli byť vykonané v súlade so Zákonom o energetickej efektívnosti tak, aby nemali dôsledky na výšku dlhu verejnej správy.</w:t>
      </w:r>
    </w:p>
    <w:p w14:paraId="4A16936A" w14:textId="77777777" w:rsidR="00810F40" w:rsidRPr="00810F40" w:rsidRDefault="00810F40" w:rsidP="00810F40">
      <w:pPr>
        <w:spacing w:after="0" w:line="269" w:lineRule="auto"/>
        <w:jc w:val="both"/>
        <w:rPr>
          <w:rFonts w:ascii="Cambria" w:hAnsi="Cambria" w:cs="Arial"/>
          <w:sz w:val="20"/>
          <w:szCs w:val="20"/>
        </w:rPr>
      </w:pPr>
    </w:p>
    <w:p w14:paraId="1AFBD0AE" w14:textId="5F2216D5" w:rsidR="00810F40" w:rsidRDefault="00810F40" w:rsidP="00810F40">
      <w:pPr>
        <w:spacing w:after="0" w:line="269" w:lineRule="auto"/>
        <w:jc w:val="both"/>
        <w:rPr>
          <w:rFonts w:ascii="Cambria" w:hAnsi="Cambria" w:cs="Arial"/>
          <w:sz w:val="20"/>
          <w:szCs w:val="20"/>
        </w:rPr>
      </w:pPr>
      <w:r w:rsidRPr="00810F40">
        <w:rPr>
          <w:rFonts w:ascii="Cambria" w:hAnsi="Cambria" w:cs="Arial"/>
          <w:sz w:val="20"/>
          <w:szCs w:val="20"/>
        </w:rPr>
        <w:t>Z toho dôvodu bol súbor budov, ktoré sa naraz rekonštruujú v rámci balíka, ako je opísané v opise predmetu zákazky, skoncipovaný ako spoločný súbor pod jedno verejné obstarávanie, inak by nebolo možné naplniť podstatu Zákona o energetickej efektívnosti a nebolo by možné uzatvoriť zmluvu v súlade s metodikou na prípravu a realizáciu garantovanej energetickej služby pre verejný sektor podľa Zákona o energetickej efektívnosti.</w:t>
      </w:r>
    </w:p>
    <w:p w14:paraId="39D2D49A" w14:textId="77777777" w:rsidR="00810F40" w:rsidRPr="00810F40" w:rsidRDefault="00810F40" w:rsidP="00810F40">
      <w:pPr>
        <w:spacing w:after="0" w:line="269" w:lineRule="auto"/>
        <w:jc w:val="both"/>
        <w:rPr>
          <w:rFonts w:ascii="Cambria" w:hAnsi="Cambria" w:cs="Arial"/>
          <w:sz w:val="20"/>
          <w:szCs w:val="20"/>
        </w:rPr>
      </w:pPr>
    </w:p>
    <w:p w14:paraId="49817063" w14:textId="6832EF03" w:rsidR="00810F40" w:rsidRDefault="00810F40" w:rsidP="00810F40">
      <w:pPr>
        <w:spacing w:after="0" w:line="269" w:lineRule="auto"/>
        <w:jc w:val="both"/>
        <w:rPr>
          <w:rFonts w:ascii="Cambria" w:hAnsi="Cambria" w:cs="Arial"/>
          <w:sz w:val="20"/>
          <w:szCs w:val="20"/>
        </w:rPr>
      </w:pPr>
      <w:r w:rsidRPr="00810F40">
        <w:rPr>
          <w:rFonts w:ascii="Cambria" w:hAnsi="Cambria" w:cs="Arial"/>
          <w:sz w:val="20"/>
          <w:szCs w:val="20"/>
        </w:rPr>
        <w:t>Realizácia celej zákazky bude zakontrahovaná na základe dvoch zmlúv – jednej zmluvy o energetickej efektívnosti pre verejný sektor a jednej zmluvy o dielo. Jedná sa však o jeden ucelený predmet zákazky a uzatvorenie dvoch samostatných zmlúv vyplýva jedine z charakteru plnení z pohľadu možného ekonomického zaradenia jednotlivých opatrení pod časť spadajúcu do verejného dlhu a časť nespadajúcu do verejného dlhu. Takéto rozdelenie zároveň predpokladá aj platná Metodika pre postup a prípravu realizácií garantovaných energetických služieb vo verejnej správe vydaná Ministerstvom hospodárstva Slovenskej republiky, v ktorej sa uvádza, že ak subjekt verejnej správy pristúpi ku komplexnejšej obnove budovy, ktorá bude zahŕňať aj iné investície, ktorých prvoradým cieľom nebude dosiahnutie energetických úspor, tieto časti je potrebné zmluvne a účtovne oddeliť od zmluvy o energetickej efektívnosti tak, aby bolo zrejmé, že z energetických úspor sa uhrádza iba tá časť obnovy, ktorá za týmto účelom bola primárne vybudovaná. Oddelenie časti opatrení, ktoré nemajú potenciál vygenerovať dostatočné množstvo úspor, aby boli zahrnuté do zmluvy o energetickej efektívnosti, do samostatnej zmluvy o dielo, je teda iba formálnym oddelením pre účel riadneho vykazovania časti zmluvy o energetickej efektívnosti mimo verejný dlh v súlade s metodikou, na ktorú odkazuje zákon o energetickej efektívnosti.</w:t>
      </w:r>
    </w:p>
    <w:p w14:paraId="0508227B" w14:textId="77777777" w:rsidR="00810F40" w:rsidRPr="00810F40" w:rsidRDefault="00810F40" w:rsidP="00810F40">
      <w:pPr>
        <w:spacing w:after="0" w:line="269" w:lineRule="auto"/>
        <w:jc w:val="both"/>
        <w:rPr>
          <w:rFonts w:ascii="Cambria" w:hAnsi="Cambria" w:cs="Arial"/>
          <w:sz w:val="20"/>
          <w:szCs w:val="20"/>
        </w:rPr>
      </w:pPr>
    </w:p>
    <w:p w14:paraId="05C16341" w14:textId="77777777" w:rsidR="00810F40" w:rsidRPr="00810F40" w:rsidRDefault="00810F40" w:rsidP="00810F40">
      <w:pPr>
        <w:spacing w:after="0" w:line="269" w:lineRule="auto"/>
        <w:jc w:val="both"/>
        <w:rPr>
          <w:rFonts w:ascii="Cambria" w:hAnsi="Cambria" w:cs="Arial"/>
          <w:sz w:val="20"/>
          <w:szCs w:val="20"/>
        </w:rPr>
      </w:pPr>
      <w:r w:rsidRPr="00810F40">
        <w:rPr>
          <w:rFonts w:ascii="Cambria" w:hAnsi="Cambria" w:cs="Arial"/>
          <w:sz w:val="20"/>
          <w:szCs w:val="20"/>
        </w:rPr>
        <w:t xml:space="preserve">Vo vzťahu k ostatným aspektom, resp. rozsahu povinností v rámci opisu predmetu zákazky (zodpovednosť za vypracovanie dokumentácie, záruka za prevádzkyschopnosť zariadení počas celej doby trvania zmluvy, opravy a údržba a revízie zariadení počas celej doby trvania zmluvy a pod.) Verejný obstarávateľ uvádza, že tieto vychádzajú priamo zo vzorovej zmluvy o energetickej efektívnosti pre verejný sektor a platnej jednotnej metodiky pre Európsku úniu a vychádza z usmernenia </w:t>
      </w:r>
      <w:proofErr w:type="spellStart"/>
      <w:r w:rsidRPr="00810F40">
        <w:rPr>
          <w:rFonts w:ascii="Cambria" w:hAnsi="Cambria" w:cs="Arial"/>
          <w:sz w:val="20"/>
          <w:szCs w:val="20"/>
        </w:rPr>
        <w:t>Eurostatu</w:t>
      </w:r>
      <w:proofErr w:type="spellEnd"/>
      <w:r w:rsidRPr="00810F40">
        <w:rPr>
          <w:rFonts w:ascii="Cambria" w:hAnsi="Cambria" w:cs="Arial"/>
          <w:sz w:val="20"/>
          <w:szCs w:val="20"/>
        </w:rPr>
        <w:t xml:space="preserve"> k povinným náležitostiam a parametrom zmluvy o energetickej efektívnosti pre verejný sektor.</w:t>
      </w:r>
    </w:p>
    <w:p w14:paraId="67096D8F" w14:textId="77777777" w:rsidR="00810F40" w:rsidRPr="00810F40" w:rsidRDefault="00810F40" w:rsidP="00810F40">
      <w:pPr>
        <w:spacing w:after="0" w:line="269" w:lineRule="auto"/>
        <w:jc w:val="both"/>
        <w:rPr>
          <w:rFonts w:ascii="Cambria" w:hAnsi="Cambria" w:cs="Arial"/>
          <w:sz w:val="20"/>
          <w:szCs w:val="20"/>
        </w:rPr>
      </w:pPr>
      <w:r w:rsidRPr="00810F40">
        <w:rPr>
          <w:rFonts w:ascii="Cambria" w:hAnsi="Cambria" w:cs="Arial"/>
          <w:sz w:val="20"/>
          <w:szCs w:val="20"/>
        </w:rPr>
        <w:t>Na úrovni samotného Predmetu zákazky teda nie je účelné žiadne hlbšie delenie zákazky, a to najmä  s ohľadom na:</w:t>
      </w:r>
    </w:p>
    <w:p w14:paraId="6FBCE295" w14:textId="77777777" w:rsidR="00810F40" w:rsidRPr="00810F40" w:rsidRDefault="00810F40" w:rsidP="00810F40">
      <w:pPr>
        <w:numPr>
          <w:ilvl w:val="0"/>
          <w:numId w:val="9"/>
        </w:numPr>
        <w:spacing w:after="0" w:line="269" w:lineRule="auto"/>
        <w:jc w:val="both"/>
        <w:rPr>
          <w:rFonts w:ascii="Cambria" w:hAnsi="Cambria" w:cs="Arial"/>
          <w:sz w:val="20"/>
          <w:szCs w:val="20"/>
        </w:rPr>
      </w:pPr>
      <w:r w:rsidRPr="00810F40">
        <w:rPr>
          <w:rFonts w:ascii="Cambria" w:hAnsi="Cambria" w:cs="Arial"/>
          <w:sz w:val="20"/>
          <w:szCs w:val="20"/>
        </w:rPr>
        <w:t xml:space="preserve">udržanie záruky za výsledok – t. j. nie len dodanie samotného diela, ale aj udržanie garantovaných parametrov (najmä garantovaných úspor) počas celej doby trvania zmluvy; a </w:t>
      </w:r>
    </w:p>
    <w:p w14:paraId="3C4D73F4" w14:textId="77777777" w:rsidR="00810F40" w:rsidRPr="00810F40" w:rsidRDefault="00810F40" w:rsidP="00810F40">
      <w:pPr>
        <w:numPr>
          <w:ilvl w:val="0"/>
          <w:numId w:val="9"/>
        </w:numPr>
        <w:spacing w:after="0" w:line="269" w:lineRule="auto"/>
        <w:jc w:val="both"/>
        <w:rPr>
          <w:rFonts w:ascii="Cambria" w:hAnsi="Cambria" w:cs="Arial"/>
          <w:sz w:val="20"/>
          <w:szCs w:val="20"/>
        </w:rPr>
      </w:pPr>
      <w:r w:rsidRPr="00810F40">
        <w:rPr>
          <w:rFonts w:ascii="Cambria" w:hAnsi="Cambria" w:cs="Arial"/>
          <w:sz w:val="20"/>
          <w:szCs w:val="20"/>
        </w:rPr>
        <w:lastRenderedPageBreak/>
        <w:t>ekonomické aspekty projektu a nutnosť spojiť viaceré budovy do logicko-ekonomického celku tak, aby mohli byť rekonštrukcie vykonané s čo najvyššou mierou nákladov nemajúcich vplyv na výšku verejného dlhu v súlade so Zákonom o energetickej efektívnosti a platnou jednotnou metodikou pre takéto projekty.</w:t>
      </w:r>
    </w:p>
    <w:p w14:paraId="5A891B55" w14:textId="77777777" w:rsidR="0002717E" w:rsidRPr="003A34C9" w:rsidRDefault="0002717E" w:rsidP="00304767">
      <w:pPr>
        <w:spacing w:after="0" w:line="269" w:lineRule="auto"/>
        <w:rPr>
          <w:rFonts w:ascii="Cambria" w:hAnsi="Cambria" w:cs="Arial"/>
          <w:sz w:val="20"/>
          <w:szCs w:val="20"/>
        </w:rPr>
      </w:pPr>
    </w:p>
    <w:p w14:paraId="58EA6857" w14:textId="77777777" w:rsidR="0002717E" w:rsidRPr="003A34C9" w:rsidRDefault="0002717E" w:rsidP="00304767">
      <w:pPr>
        <w:pStyle w:val="Odsekzoznamu"/>
        <w:numPr>
          <w:ilvl w:val="0"/>
          <w:numId w:val="1"/>
        </w:numPr>
        <w:spacing w:after="0" w:line="269" w:lineRule="auto"/>
        <w:ind w:left="426" w:hanging="426"/>
        <w:rPr>
          <w:rFonts w:ascii="Cambria" w:hAnsi="Cambria" w:cs="Arial"/>
          <w:b/>
          <w:sz w:val="20"/>
          <w:szCs w:val="20"/>
        </w:rPr>
      </w:pPr>
      <w:r w:rsidRPr="003A34C9">
        <w:rPr>
          <w:rFonts w:ascii="Cambria" w:hAnsi="Cambria" w:cs="Arial"/>
          <w:b/>
          <w:sz w:val="20"/>
          <w:szCs w:val="20"/>
        </w:rPr>
        <w:t>Identifikácia vylúčených uchádzačov a</w:t>
      </w:r>
      <w:r w:rsidRPr="003A34C9">
        <w:rPr>
          <w:rFonts w:ascii="Cambria" w:hAnsi="Cambria" w:cs="Calibri"/>
          <w:b/>
          <w:sz w:val="20"/>
          <w:szCs w:val="20"/>
        </w:rPr>
        <w:t> </w:t>
      </w:r>
      <w:r w:rsidRPr="003A34C9">
        <w:rPr>
          <w:rFonts w:ascii="Cambria" w:hAnsi="Cambria" w:cs="Arial"/>
          <w:b/>
          <w:sz w:val="20"/>
          <w:szCs w:val="20"/>
        </w:rPr>
        <w:t>od</w:t>
      </w:r>
      <w:r w:rsidRPr="003A34C9">
        <w:rPr>
          <w:rFonts w:ascii="Cambria" w:hAnsi="Cambria" w:cs="Proba Pro"/>
          <w:b/>
          <w:sz w:val="20"/>
          <w:szCs w:val="20"/>
        </w:rPr>
        <w:t>ô</w:t>
      </w:r>
      <w:r w:rsidRPr="003A34C9">
        <w:rPr>
          <w:rFonts w:ascii="Cambria" w:hAnsi="Cambria" w:cs="Arial"/>
          <w:b/>
          <w:sz w:val="20"/>
          <w:szCs w:val="20"/>
        </w:rPr>
        <w:t>vodnenie ich vyl</w:t>
      </w:r>
      <w:r w:rsidRPr="003A34C9">
        <w:rPr>
          <w:rFonts w:ascii="Cambria" w:hAnsi="Cambria" w:cs="Proba Pro CE"/>
          <w:b/>
          <w:sz w:val="20"/>
          <w:szCs w:val="20"/>
        </w:rPr>
        <w:t>úč</w:t>
      </w:r>
      <w:r w:rsidRPr="003A34C9">
        <w:rPr>
          <w:rFonts w:ascii="Cambria" w:hAnsi="Cambria" w:cs="Arial"/>
          <w:b/>
          <w:sz w:val="20"/>
          <w:szCs w:val="20"/>
        </w:rPr>
        <w:t>enia:</w:t>
      </w:r>
    </w:p>
    <w:p w14:paraId="33B1B0FE" w14:textId="77777777" w:rsidR="0002717E" w:rsidRPr="003A34C9" w:rsidRDefault="0002717E" w:rsidP="00304767">
      <w:pPr>
        <w:spacing w:after="0" w:line="269" w:lineRule="auto"/>
        <w:rPr>
          <w:rFonts w:ascii="Cambria" w:hAnsi="Cambria" w:cs="Arial"/>
          <w:sz w:val="20"/>
          <w:szCs w:val="20"/>
        </w:rPr>
      </w:pPr>
    </w:p>
    <w:p w14:paraId="42DFBC84" w14:textId="6AA4E331" w:rsidR="0002717E" w:rsidRPr="00393FA4" w:rsidRDefault="00810F40" w:rsidP="00304767">
      <w:pPr>
        <w:spacing w:after="0" w:line="269" w:lineRule="auto"/>
        <w:rPr>
          <w:rFonts w:ascii="Cambria" w:hAnsi="Cambria" w:cs="Arial"/>
          <w:sz w:val="20"/>
          <w:szCs w:val="20"/>
        </w:rPr>
      </w:pPr>
      <w:r>
        <w:rPr>
          <w:rFonts w:ascii="Cambria" w:hAnsi="Cambria" w:cs="Arial"/>
          <w:sz w:val="20"/>
          <w:szCs w:val="20"/>
        </w:rPr>
        <w:t>Neuplatňuje sa.</w:t>
      </w:r>
    </w:p>
    <w:p w14:paraId="19CABC9F" w14:textId="77777777" w:rsidR="0002717E" w:rsidRPr="003A34C9" w:rsidRDefault="0002717E" w:rsidP="00304767">
      <w:pPr>
        <w:spacing w:after="0" w:line="269" w:lineRule="auto"/>
        <w:rPr>
          <w:rFonts w:ascii="Cambria" w:hAnsi="Cambria" w:cs="Arial"/>
          <w:sz w:val="20"/>
          <w:szCs w:val="20"/>
        </w:rPr>
      </w:pPr>
    </w:p>
    <w:p w14:paraId="11B2F1D0" w14:textId="77777777" w:rsidR="0002717E" w:rsidRPr="003A34C9" w:rsidRDefault="0002717E" w:rsidP="00304767">
      <w:pPr>
        <w:pStyle w:val="Odsekzoznamu"/>
        <w:numPr>
          <w:ilvl w:val="0"/>
          <w:numId w:val="1"/>
        </w:numPr>
        <w:spacing w:after="0" w:line="269" w:lineRule="auto"/>
        <w:ind w:left="426" w:hanging="426"/>
        <w:rPr>
          <w:rFonts w:ascii="Cambria" w:hAnsi="Cambria" w:cs="Arial"/>
          <w:b/>
          <w:sz w:val="20"/>
          <w:szCs w:val="20"/>
        </w:rPr>
      </w:pPr>
      <w:r w:rsidRPr="003A34C9">
        <w:rPr>
          <w:rFonts w:ascii="Cambria" w:hAnsi="Cambria" w:cs="Arial"/>
          <w:b/>
          <w:sz w:val="20"/>
          <w:szCs w:val="20"/>
        </w:rPr>
        <w:t>Odôvodnenie vylúčenia mimoriadne nízkych ponúk:</w:t>
      </w:r>
    </w:p>
    <w:p w14:paraId="18F36812" w14:textId="77777777" w:rsidR="0002717E" w:rsidRPr="003A34C9" w:rsidRDefault="0002717E" w:rsidP="00304767">
      <w:pPr>
        <w:spacing w:after="0" w:line="269" w:lineRule="auto"/>
        <w:rPr>
          <w:rFonts w:ascii="Cambria" w:hAnsi="Cambria" w:cs="Arial"/>
          <w:sz w:val="20"/>
          <w:szCs w:val="20"/>
        </w:rPr>
      </w:pPr>
    </w:p>
    <w:p w14:paraId="468079B9" w14:textId="77777777" w:rsidR="00810F40" w:rsidRPr="00393FA4" w:rsidRDefault="00810F40" w:rsidP="00810F40">
      <w:pPr>
        <w:spacing w:after="0" w:line="269" w:lineRule="auto"/>
        <w:rPr>
          <w:rFonts w:ascii="Cambria" w:hAnsi="Cambria" w:cs="Arial"/>
          <w:sz w:val="20"/>
          <w:szCs w:val="20"/>
        </w:rPr>
      </w:pPr>
      <w:r>
        <w:rPr>
          <w:rFonts w:ascii="Cambria" w:hAnsi="Cambria" w:cs="Arial"/>
          <w:sz w:val="20"/>
          <w:szCs w:val="20"/>
        </w:rPr>
        <w:t>Neuplatňuje sa.</w:t>
      </w:r>
    </w:p>
    <w:p w14:paraId="35AE7839" w14:textId="77777777" w:rsidR="0002717E" w:rsidRPr="003A34C9" w:rsidRDefault="0002717E" w:rsidP="00304767">
      <w:pPr>
        <w:spacing w:after="0" w:line="269" w:lineRule="auto"/>
        <w:rPr>
          <w:rFonts w:ascii="Cambria" w:hAnsi="Cambria" w:cs="Arial"/>
          <w:sz w:val="20"/>
          <w:szCs w:val="20"/>
        </w:rPr>
      </w:pPr>
    </w:p>
    <w:p w14:paraId="0146ED0A" w14:textId="0DEAFA69" w:rsidR="0002717E" w:rsidRPr="003A34C9" w:rsidRDefault="0002717E" w:rsidP="00304767">
      <w:pPr>
        <w:pStyle w:val="Odsekzoznamu"/>
        <w:numPr>
          <w:ilvl w:val="0"/>
          <w:numId w:val="1"/>
        </w:numPr>
        <w:spacing w:after="0" w:line="269" w:lineRule="auto"/>
        <w:ind w:left="426" w:hanging="426"/>
        <w:jc w:val="both"/>
        <w:rPr>
          <w:rFonts w:ascii="Cambria" w:hAnsi="Cambria" w:cs="Arial"/>
          <w:b/>
          <w:sz w:val="20"/>
          <w:szCs w:val="20"/>
        </w:rPr>
      </w:pPr>
      <w:r w:rsidRPr="003A34C9">
        <w:rPr>
          <w:rFonts w:ascii="Cambria" w:hAnsi="Cambria" w:cs="Arial"/>
          <w:b/>
          <w:sz w:val="20"/>
          <w:szCs w:val="20"/>
        </w:rPr>
        <w:t>Identifikácia úspešného uchádzača a odôvodnenie výberu jeho ponuky, podiel zákazky, ktorý úspešný uchádzač má v</w:t>
      </w:r>
      <w:r w:rsidRPr="003A34C9">
        <w:rPr>
          <w:rFonts w:ascii="Cambria" w:hAnsi="Cambria" w:cs="Calibri"/>
          <w:b/>
          <w:sz w:val="20"/>
          <w:szCs w:val="20"/>
        </w:rPr>
        <w:t> </w:t>
      </w:r>
      <w:r w:rsidRPr="003A34C9">
        <w:rPr>
          <w:rFonts w:ascii="Cambria" w:hAnsi="Cambria" w:cs="Proba Pro"/>
          <w:b/>
          <w:sz w:val="20"/>
          <w:szCs w:val="20"/>
        </w:rPr>
        <w:t>ú</w:t>
      </w:r>
      <w:r w:rsidRPr="003A34C9">
        <w:rPr>
          <w:rFonts w:ascii="Cambria" w:hAnsi="Cambria" w:cs="Arial"/>
          <w:b/>
          <w:sz w:val="20"/>
          <w:szCs w:val="20"/>
        </w:rPr>
        <w:t>mysle zada</w:t>
      </w:r>
      <w:r w:rsidRPr="003A34C9">
        <w:rPr>
          <w:rFonts w:ascii="Cambria" w:hAnsi="Cambria" w:cs="Proba Pro CE"/>
          <w:b/>
          <w:sz w:val="20"/>
          <w:szCs w:val="20"/>
        </w:rPr>
        <w:t>ť</w:t>
      </w:r>
      <w:r w:rsidRPr="003A34C9">
        <w:rPr>
          <w:rFonts w:ascii="Cambria" w:hAnsi="Cambria" w:cs="Arial"/>
          <w:b/>
          <w:sz w:val="20"/>
          <w:szCs w:val="20"/>
        </w:rPr>
        <w:t xml:space="preserve"> subdod</w:t>
      </w:r>
      <w:r w:rsidRPr="003A34C9">
        <w:rPr>
          <w:rFonts w:ascii="Cambria" w:hAnsi="Cambria" w:cs="Proba Pro"/>
          <w:b/>
          <w:sz w:val="20"/>
          <w:szCs w:val="20"/>
        </w:rPr>
        <w:t>á</w:t>
      </w:r>
      <w:r w:rsidRPr="003A34C9">
        <w:rPr>
          <w:rFonts w:ascii="Cambria" w:hAnsi="Cambria" w:cs="Arial"/>
          <w:b/>
          <w:sz w:val="20"/>
          <w:szCs w:val="20"/>
        </w:rPr>
        <w:t>vate</w:t>
      </w:r>
      <w:r w:rsidRPr="003A34C9">
        <w:rPr>
          <w:rFonts w:ascii="Cambria" w:hAnsi="Cambria" w:cs="Proba Pro CE"/>
          <w:b/>
          <w:sz w:val="20"/>
          <w:szCs w:val="20"/>
        </w:rPr>
        <w:t>ľ</w:t>
      </w:r>
      <w:r w:rsidRPr="003A34C9">
        <w:rPr>
          <w:rFonts w:ascii="Cambria" w:hAnsi="Cambria" w:cs="Arial"/>
          <w:b/>
          <w:sz w:val="20"/>
          <w:szCs w:val="20"/>
        </w:rPr>
        <w:t>om</w:t>
      </w:r>
      <w:r w:rsidR="00753DA5">
        <w:rPr>
          <w:rFonts w:ascii="Cambria" w:hAnsi="Cambria" w:cs="Arial"/>
          <w:b/>
          <w:sz w:val="20"/>
          <w:szCs w:val="20"/>
        </w:rPr>
        <w:t xml:space="preserve"> </w:t>
      </w:r>
      <w:r w:rsidR="00753DA5" w:rsidRPr="00753DA5">
        <w:rPr>
          <w:rFonts w:ascii="Cambria" w:hAnsi="Cambria" w:cs="Arial"/>
          <w:b/>
          <w:sz w:val="20"/>
          <w:szCs w:val="20"/>
        </w:rPr>
        <w:t>a ich identifikáciu, ak sú známi</w:t>
      </w:r>
      <w:r w:rsidRPr="003A34C9">
        <w:rPr>
          <w:rFonts w:ascii="Cambria" w:hAnsi="Cambria" w:cs="Arial"/>
          <w:b/>
          <w:sz w:val="20"/>
          <w:szCs w:val="20"/>
        </w:rPr>
        <w:t>:</w:t>
      </w:r>
    </w:p>
    <w:p w14:paraId="1900534E" w14:textId="77777777" w:rsidR="0002717E" w:rsidRPr="003A34C9" w:rsidRDefault="0002717E" w:rsidP="00304767">
      <w:pPr>
        <w:spacing w:after="0" w:line="269" w:lineRule="auto"/>
        <w:jc w:val="both"/>
        <w:rPr>
          <w:rFonts w:ascii="Cambria" w:hAnsi="Cambria" w:cs="Arial"/>
          <w:sz w:val="20"/>
          <w:szCs w:val="20"/>
        </w:rPr>
      </w:pPr>
    </w:p>
    <w:p w14:paraId="49CA7F21" w14:textId="77777777" w:rsidR="00810F40" w:rsidRPr="00393FA4" w:rsidRDefault="00810F40" w:rsidP="00810F40">
      <w:pPr>
        <w:spacing w:after="0" w:line="269" w:lineRule="auto"/>
        <w:rPr>
          <w:rFonts w:ascii="Cambria" w:hAnsi="Cambria" w:cs="Arial"/>
          <w:sz w:val="20"/>
          <w:szCs w:val="20"/>
        </w:rPr>
      </w:pPr>
      <w:r>
        <w:rPr>
          <w:rFonts w:ascii="Cambria" w:hAnsi="Cambria" w:cs="Arial"/>
          <w:sz w:val="20"/>
          <w:szCs w:val="20"/>
        </w:rPr>
        <w:t>Neuplatňuje sa.</w:t>
      </w:r>
    </w:p>
    <w:p w14:paraId="3338B8EF" w14:textId="77777777" w:rsidR="0027602C" w:rsidRPr="0027602C" w:rsidRDefault="0027602C" w:rsidP="0027602C">
      <w:pPr>
        <w:spacing w:after="0" w:line="269" w:lineRule="auto"/>
        <w:ind w:right="113"/>
        <w:jc w:val="both"/>
        <w:rPr>
          <w:rFonts w:ascii="Cambria" w:hAnsi="Cambria" w:cs="Arial"/>
          <w:b/>
          <w:sz w:val="20"/>
          <w:szCs w:val="20"/>
        </w:rPr>
      </w:pPr>
    </w:p>
    <w:p w14:paraId="3C52687A" w14:textId="6B8556B2" w:rsidR="00753DA5" w:rsidRPr="003A34C9" w:rsidRDefault="00753DA5" w:rsidP="00753DA5">
      <w:pPr>
        <w:pStyle w:val="Odsekzoznamu"/>
        <w:numPr>
          <w:ilvl w:val="0"/>
          <w:numId w:val="1"/>
        </w:numPr>
        <w:spacing w:after="0" w:line="269" w:lineRule="auto"/>
        <w:ind w:left="426" w:hanging="426"/>
        <w:rPr>
          <w:rFonts w:ascii="Cambria" w:hAnsi="Cambria" w:cs="Arial"/>
          <w:b/>
          <w:sz w:val="20"/>
          <w:szCs w:val="20"/>
        </w:rPr>
      </w:pPr>
      <w:r>
        <w:rPr>
          <w:rFonts w:ascii="Cambria" w:hAnsi="Cambria" w:cs="Arial"/>
          <w:b/>
          <w:sz w:val="20"/>
          <w:szCs w:val="20"/>
        </w:rPr>
        <w:t>Zmluvná</w:t>
      </w:r>
      <w:r w:rsidRPr="003A34C9">
        <w:rPr>
          <w:rFonts w:ascii="Cambria" w:hAnsi="Cambria" w:cs="Arial"/>
          <w:b/>
          <w:sz w:val="20"/>
          <w:szCs w:val="20"/>
        </w:rPr>
        <w:t xml:space="preserve"> </w:t>
      </w:r>
      <w:r>
        <w:rPr>
          <w:rFonts w:ascii="Cambria" w:hAnsi="Cambria" w:cs="Arial"/>
          <w:b/>
          <w:sz w:val="20"/>
          <w:szCs w:val="20"/>
        </w:rPr>
        <w:t>cena</w:t>
      </w:r>
      <w:r w:rsidRPr="003A34C9">
        <w:rPr>
          <w:rFonts w:ascii="Cambria" w:hAnsi="Cambria" w:cs="Arial"/>
          <w:b/>
          <w:sz w:val="20"/>
          <w:szCs w:val="20"/>
        </w:rPr>
        <w:t>:</w:t>
      </w:r>
    </w:p>
    <w:p w14:paraId="407EE12B" w14:textId="77777777" w:rsidR="00753DA5" w:rsidRPr="003A34C9" w:rsidRDefault="00753DA5" w:rsidP="00753DA5">
      <w:pPr>
        <w:spacing w:after="0" w:line="269" w:lineRule="auto"/>
        <w:jc w:val="both"/>
        <w:rPr>
          <w:rFonts w:ascii="Cambria" w:hAnsi="Cambria" w:cs="Arial"/>
          <w:sz w:val="20"/>
          <w:szCs w:val="20"/>
        </w:rPr>
      </w:pPr>
    </w:p>
    <w:p w14:paraId="787BF56B" w14:textId="77777777" w:rsidR="00810F40" w:rsidRPr="00393FA4" w:rsidRDefault="00810F40" w:rsidP="00810F40">
      <w:pPr>
        <w:spacing w:after="0" w:line="269" w:lineRule="auto"/>
        <w:rPr>
          <w:rFonts w:ascii="Cambria" w:hAnsi="Cambria" w:cs="Arial"/>
          <w:sz w:val="20"/>
          <w:szCs w:val="20"/>
        </w:rPr>
      </w:pPr>
      <w:r>
        <w:rPr>
          <w:rFonts w:ascii="Cambria" w:hAnsi="Cambria" w:cs="Arial"/>
          <w:sz w:val="20"/>
          <w:szCs w:val="20"/>
        </w:rPr>
        <w:t>Neuplatňuje sa.</w:t>
      </w:r>
    </w:p>
    <w:p w14:paraId="220958E2" w14:textId="77777777" w:rsidR="0002717E" w:rsidRPr="003A34C9" w:rsidRDefault="0002717E" w:rsidP="00304767">
      <w:pPr>
        <w:pStyle w:val="Odsekzoznamu"/>
        <w:spacing w:after="0" w:line="269" w:lineRule="auto"/>
        <w:rPr>
          <w:rFonts w:ascii="Cambria" w:hAnsi="Cambria" w:cs="Arial"/>
          <w:b/>
          <w:sz w:val="20"/>
          <w:szCs w:val="20"/>
        </w:rPr>
      </w:pPr>
    </w:p>
    <w:p w14:paraId="5BA39809" w14:textId="62C0D1E5" w:rsidR="0002717E" w:rsidRPr="003A34C9" w:rsidRDefault="0002717E" w:rsidP="00304767">
      <w:pPr>
        <w:pStyle w:val="Odsekzoznamu"/>
        <w:numPr>
          <w:ilvl w:val="0"/>
          <w:numId w:val="1"/>
        </w:numPr>
        <w:spacing w:after="0" w:line="269" w:lineRule="auto"/>
        <w:ind w:left="426" w:hanging="426"/>
        <w:rPr>
          <w:rFonts w:ascii="Cambria" w:hAnsi="Cambria" w:cs="Arial"/>
          <w:b/>
          <w:sz w:val="20"/>
          <w:szCs w:val="20"/>
        </w:rPr>
      </w:pPr>
      <w:r w:rsidRPr="003A34C9">
        <w:rPr>
          <w:rFonts w:ascii="Cambria" w:hAnsi="Cambria" w:cs="Arial"/>
          <w:b/>
          <w:sz w:val="20"/>
          <w:szCs w:val="20"/>
        </w:rPr>
        <w:t>Zistený konflikt záujm</w:t>
      </w:r>
      <w:r w:rsidR="00E84840">
        <w:rPr>
          <w:rFonts w:ascii="Cambria" w:hAnsi="Cambria" w:cs="Arial"/>
          <w:b/>
          <w:sz w:val="20"/>
          <w:szCs w:val="20"/>
        </w:rPr>
        <w:t>ov</w:t>
      </w:r>
      <w:r w:rsidRPr="003A34C9">
        <w:rPr>
          <w:rFonts w:ascii="Cambria" w:hAnsi="Cambria" w:cs="Arial"/>
          <w:b/>
          <w:sz w:val="20"/>
          <w:szCs w:val="20"/>
        </w:rPr>
        <w:t xml:space="preserve"> a následne prijaté opatrenia:</w:t>
      </w:r>
    </w:p>
    <w:p w14:paraId="2E0C8B7B" w14:textId="77777777" w:rsidR="0002717E" w:rsidRPr="003A34C9" w:rsidRDefault="0002717E" w:rsidP="00304767">
      <w:pPr>
        <w:pStyle w:val="Odsekzoznamu"/>
        <w:spacing w:after="0" w:line="269" w:lineRule="auto"/>
        <w:jc w:val="both"/>
        <w:rPr>
          <w:rFonts w:ascii="Cambria" w:hAnsi="Cambria" w:cs="Arial"/>
          <w:b/>
          <w:sz w:val="20"/>
          <w:szCs w:val="20"/>
        </w:rPr>
      </w:pPr>
    </w:p>
    <w:p w14:paraId="4683014F" w14:textId="77777777" w:rsidR="00810F40" w:rsidRPr="00393FA4" w:rsidRDefault="00810F40" w:rsidP="00810F40">
      <w:pPr>
        <w:spacing w:after="0" w:line="269" w:lineRule="auto"/>
        <w:rPr>
          <w:rFonts w:ascii="Cambria" w:hAnsi="Cambria" w:cs="Arial"/>
          <w:sz w:val="20"/>
          <w:szCs w:val="20"/>
        </w:rPr>
      </w:pPr>
      <w:r>
        <w:rPr>
          <w:rFonts w:ascii="Cambria" w:hAnsi="Cambria" w:cs="Arial"/>
          <w:sz w:val="20"/>
          <w:szCs w:val="20"/>
        </w:rPr>
        <w:t>Neuplatňuje sa.</w:t>
      </w:r>
    </w:p>
    <w:p w14:paraId="787B73F6" w14:textId="77777777" w:rsidR="0002717E" w:rsidRPr="003A34C9" w:rsidRDefault="0002717E" w:rsidP="00304767">
      <w:pPr>
        <w:pStyle w:val="Odsekzoznamu"/>
        <w:spacing w:after="0" w:line="269" w:lineRule="auto"/>
        <w:jc w:val="both"/>
        <w:rPr>
          <w:rFonts w:ascii="Cambria" w:hAnsi="Cambria" w:cs="Arial"/>
          <w:b/>
          <w:sz w:val="20"/>
          <w:szCs w:val="20"/>
        </w:rPr>
      </w:pPr>
    </w:p>
    <w:p w14:paraId="331C9583" w14:textId="77777777" w:rsidR="0002717E" w:rsidRPr="003A34C9" w:rsidRDefault="0002717E" w:rsidP="00304767">
      <w:pPr>
        <w:pStyle w:val="Odsekzoznamu"/>
        <w:numPr>
          <w:ilvl w:val="0"/>
          <w:numId w:val="1"/>
        </w:numPr>
        <w:spacing w:after="0" w:line="269" w:lineRule="auto"/>
        <w:ind w:left="426" w:hanging="426"/>
        <w:jc w:val="both"/>
        <w:rPr>
          <w:rFonts w:ascii="Cambria" w:hAnsi="Cambria" w:cs="Arial"/>
          <w:b/>
          <w:sz w:val="20"/>
          <w:szCs w:val="20"/>
        </w:rPr>
      </w:pPr>
      <w:r w:rsidRPr="003A34C9">
        <w:rPr>
          <w:rFonts w:ascii="Cambria" w:hAnsi="Cambria" w:cs="Arial"/>
          <w:b/>
          <w:sz w:val="20"/>
          <w:szCs w:val="20"/>
        </w:rPr>
        <w:t>Opatrenia prijaté v súvislosti s predbežným zapojením záujemcov alebo uchádzačov na účely prípravy postupu verejného obstarávania:</w:t>
      </w:r>
    </w:p>
    <w:p w14:paraId="6AA080DA" w14:textId="77777777" w:rsidR="0002717E" w:rsidRPr="003A34C9" w:rsidRDefault="0002717E" w:rsidP="00304767">
      <w:pPr>
        <w:spacing w:after="0" w:line="269" w:lineRule="auto"/>
        <w:jc w:val="both"/>
        <w:rPr>
          <w:rFonts w:ascii="Cambria" w:hAnsi="Cambria" w:cs="Arial"/>
          <w:b/>
          <w:sz w:val="20"/>
          <w:szCs w:val="20"/>
        </w:rPr>
      </w:pPr>
    </w:p>
    <w:p w14:paraId="2A7C293A" w14:textId="3D5E711B" w:rsidR="0002717E" w:rsidRDefault="0002717E" w:rsidP="00304767">
      <w:pPr>
        <w:spacing w:after="0" w:line="269" w:lineRule="auto"/>
        <w:jc w:val="both"/>
        <w:rPr>
          <w:rFonts w:ascii="Cambria" w:hAnsi="Cambria" w:cs="Arial"/>
          <w:sz w:val="20"/>
          <w:szCs w:val="20"/>
        </w:rPr>
      </w:pPr>
      <w:r w:rsidRPr="003A34C9">
        <w:rPr>
          <w:rFonts w:ascii="Cambria" w:hAnsi="Cambria" w:cs="Arial"/>
          <w:sz w:val="20"/>
          <w:szCs w:val="20"/>
        </w:rPr>
        <w:t>Verejný obstarávateľ nevyužil počas prípravy postupu verejného obstarávania prípravné trhové konzultácie a</w:t>
      </w:r>
      <w:r w:rsidRPr="003A34C9">
        <w:rPr>
          <w:rFonts w:ascii="Cambria" w:hAnsi="Cambria" w:cs="Calibri"/>
          <w:sz w:val="20"/>
          <w:szCs w:val="20"/>
        </w:rPr>
        <w:t> </w:t>
      </w:r>
      <w:r w:rsidRPr="003A34C9">
        <w:rPr>
          <w:rFonts w:ascii="Cambria" w:hAnsi="Cambria" w:cs="Arial"/>
          <w:sz w:val="20"/>
          <w:szCs w:val="20"/>
        </w:rPr>
        <w:t>predbe</w:t>
      </w:r>
      <w:r w:rsidRPr="003A34C9">
        <w:rPr>
          <w:rFonts w:ascii="Cambria" w:hAnsi="Cambria" w:cs="Proba Pro"/>
          <w:sz w:val="20"/>
          <w:szCs w:val="20"/>
        </w:rPr>
        <w:t>ž</w:t>
      </w:r>
      <w:r w:rsidRPr="003A34C9">
        <w:rPr>
          <w:rFonts w:ascii="Cambria" w:hAnsi="Cambria" w:cs="Arial"/>
          <w:sz w:val="20"/>
          <w:szCs w:val="20"/>
        </w:rPr>
        <w:t>n</w:t>
      </w:r>
      <w:r w:rsidRPr="003A34C9">
        <w:rPr>
          <w:rFonts w:ascii="Cambria" w:hAnsi="Cambria" w:cs="Proba Pro"/>
          <w:sz w:val="20"/>
          <w:szCs w:val="20"/>
        </w:rPr>
        <w:t>é</w:t>
      </w:r>
      <w:r w:rsidRPr="003A34C9">
        <w:rPr>
          <w:rFonts w:ascii="Cambria" w:hAnsi="Cambria" w:cs="Arial"/>
          <w:sz w:val="20"/>
          <w:szCs w:val="20"/>
        </w:rPr>
        <w:t xml:space="preserve">  zapojenie z</w:t>
      </w:r>
      <w:r w:rsidRPr="003A34C9">
        <w:rPr>
          <w:rFonts w:ascii="Cambria" w:hAnsi="Cambria" w:cs="Proba Pro"/>
          <w:sz w:val="20"/>
          <w:szCs w:val="20"/>
        </w:rPr>
        <w:t>á</w:t>
      </w:r>
      <w:r w:rsidRPr="003A34C9">
        <w:rPr>
          <w:rFonts w:ascii="Cambria" w:hAnsi="Cambria" w:cs="Arial"/>
          <w:sz w:val="20"/>
          <w:szCs w:val="20"/>
        </w:rPr>
        <w:t>ujemcov alebo uch</w:t>
      </w:r>
      <w:r w:rsidRPr="003A34C9">
        <w:rPr>
          <w:rFonts w:ascii="Cambria" w:hAnsi="Cambria" w:cs="Proba Pro"/>
          <w:sz w:val="20"/>
          <w:szCs w:val="20"/>
        </w:rPr>
        <w:t>á</w:t>
      </w:r>
      <w:r w:rsidRPr="003A34C9">
        <w:rPr>
          <w:rFonts w:ascii="Cambria" w:hAnsi="Cambria" w:cs="Arial"/>
          <w:sz w:val="20"/>
          <w:szCs w:val="20"/>
        </w:rPr>
        <w:t>dza</w:t>
      </w:r>
      <w:r w:rsidRPr="003A34C9">
        <w:rPr>
          <w:rFonts w:ascii="Cambria" w:hAnsi="Cambria" w:cs="Proba Pro CE"/>
          <w:sz w:val="20"/>
          <w:szCs w:val="20"/>
        </w:rPr>
        <w:t>č</w:t>
      </w:r>
      <w:r w:rsidRPr="003A34C9">
        <w:rPr>
          <w:rFonts w:ascii="Cambria" w:hAnsi="Cambria" w:cs="Arial"/>
          <w:sz w:val="20"/>
          <w:szCs w:val="20"/>
        </w:rPr>
        <w:t xml:space="preserve">ov. </w:t>
      </w:r>
      <w:r w:rsidR="00810F40">
        <w:rPr>
          <w:rFonts w:ascii="Cambria" w:hAnsi="Cambria" w:cs="Arial"/>
          <w:sz w:val="20"/>
          <w:szCs w:val="20"/>
        </w:rPr>
        <w:t xml:space="preserve"> </w:t>
      </w:r>
    </w:p>
    <w:p w14:paraId="6B25EEC0" w14:textId="294522B4" w:rsidR="003A779B" w:rsidRPr="003A779B" w:rsidRDefault="003A779B" w:rsidP="00304767">
      <w:pPr>
        <w:spacing w:after="0" w:line="269" w:lineRule="auto"/>
        <w:jc w:val="both"/>
        <w:rPr>
          <w:rFonts w:ascii="Cambria" w:hAnsi="Cambria" w:cs="Arial"/>
          <w:b/>
          <w:sz w:val="20"/>
          <w:szCs w:val="20"/>
        </w:rPr>
      </w:pPr>
    </w:p>
    <w:p w14:paraId="5C511D0B" w14:textId="4E86D37F" w:rsidR="003A779B" w:rsidRPr="003A779B" w:rsidRDefault="003A779B" w:rsidP="003A779B">
      <w:pPr>
        <w:pStyle w:val="Odsekzoznamu"/>
        <w:numPr>
          <w:ilvl w:val="0"/>
          <w:numId w:val="1"/>
        </w:numPr>
        <w:spacing w:after="0" w:line="269" w:lineRule="auto"/>
        <w:ind w:left="426"/>
        <w:jc w:val="both"/>
        <w:rPr>
          <w:rFonts w:ascii="Cambria" w:hAnsi="Cambria" w:cs="Arial"/>
          <w:b/>
          <w:sz w:val="20"/>
          <w:szCs w:val="20"/>
        </w:rPr>
      </w:pPr>
      <w:r w:rsidRPr="003A779B">
        <w:rPr>
          <w:rFonts w:ascii="Cambria" w:hAnsi="Cambria" w:cs="Arial"/>
          <w:b/>
          <w:sz w:val="20"/>
          <w:szCs w:val="20"/>
        </w:rPr>
        <w:t>Dôvod zrušenia postupu zadávania zákazky:</w:t>
      </w:r>
    </w:p>
    <w:p w14:paraId="78465D79" w14:textId="60961EE0" w:rsidR="0002717E" w:rsidRDefault="0002717E" w:rsidP="003A779B">
      <w:pPr>
        <w:spacing w:after="0" w:line="269" w:lineRule="auto"/>
        <w:jc w:val="both"/>
        <w:rPr>
          <w:rFonts w:ascii="Cambria" w:hAnsi="Cambria" w:cs="Arial"/>
          <w:sz w:val="20"/>
          <w:szCs w:val="20"/>
        </w:rPr>
      </w:pPr>
    </w:p>
    <w:p w14:paraId="1427A17D" w14:textId="5ED790C7" w:rsidR="00966E6D" w:rsidRPr="00966E6D" w:rsidRDefault="00966E6D" w:rsidP="00966E6D">
      <w:pPr>
        <w:spacing w:after="0" w:line="269" w:lineRule="auto"/>
        <w:jc w:val="both"/>
        <w:rPr>
          <w:rFonts w:ascii="Cambria" w:hAnsi="Cambria" w:cs="Arial"/>
          <w:sz w:val="20"/>
          <w:szCs w:val="20"/>
        </w:rPr>
      </w:pPr>
      <w:r w:rsidRPr="00966E6D">
        <w:rPr>
          <w:rFonts w:ascii="Cambria" w:hAnsi="Cambria" w:cs="Arial"/>
          <w:sz w:val="20"/>
          <w:szCs w:val="20"/>
        </w:rPr>
        <w:t xml:space="preserve">Verejný obstarávateľ zrušuje predmetnú verejnú súťaž v zmysle § 57 ods. </w:t>
      </w:r>
      <w:r w:rsidR="00241BE8">
        <w:rPr>
          <w:rFonts w:ascii="Cambria" w:hAnsi="Cambria" w:cs="Arial"/>
          <w:sz w:val="20"/>
          <w:szCs w:val="20"/>
        </w:rPr>
        <w:t>1 písm. b)</w:t>
      </w:r>
      <w:r w:rsidRPr="00966E6D">
        <w:rPr>
          <w:rFonts w:ascii="Cambria" w:hAnsi="Cambria" w:cs="Arial"/>
          <w:sz w:val="20"/>
          <w:szCs w:val="20"/>
        </w:rPr>
        <w:t xml:space="preserve"> zákona o verejnom obstarávaní</w:t>
      </w:r>
      <w:r w:rsidR="00241BE8">
        <w:rPr>
          <w:rFonts w:ascii="Cambria" w:hAnsi="Cambria" w:cs="Arial"/>
          <w:sz w:val="20"/>
          <w:szCs w:val="20"/>
        </w:rPr>
        <w:t xml:space="preserve"> t. j. z dôvodu, že nedostal ani jednu ponuku. </w:t>
      </w:r>
      <w:bookmarkStart w:id="1" w:name="_GoBack"/>
      <w:bookmarkEnd w:id="1"/>
      <w:r w:rsidRPr="00966E6D">
        <w:rPr>
          <w:rFonts w:ascii="Cambria" w:hAnsi="Cambria" w:cs="Arial"/>
          <w:i/>
          <w:iCs/>
          <w:sz w:val="20"/>
          <w:szCs w:val="20"/>
        </w:rPr>
        <w:t xml:space="preserve"> </w:t>
      </w:r>
    </w:p>
    <w:p w14:paraId="4F6AFCF8" w14:textId="77777777" w:rsidR="00966E6D" w:rsidRPr="00966E6D" w:rsidRDefault="00966E6D" w:rsidP="00966E6D">
      <w:pPr>
        <w:spacing w:after="0" w:line="269" w:lineRule="auto"/>
        <w:jc w:val="both"/>
        <w:rPr>
          <w:rFonts w:ascii="Cambria" w:hAnsi="Cambria" w:cs="Arial"/>
          <w:sz w:val="20"/>
          <w:szCs w:val="20"/>
        </w:rPr>
      </w:pPr>
    </w:p>
    <w:p w14:paraId="567797A6" w14:textId="051EF3AC" w:rsidR="00966E6D" w:rsidRPr="00966E6D" w:rsidRDefault="00966E6D" w:rsidP="00966E6D">
      <w:pPr>
        <w:spacing w:after="0" w:line="269" w:lineRule="auto"/>
        <w:jc w:val="both"/>
        <w:rPr>
          <w:rFonts w:ascii="Cambria" w:hAnsi="Cambria" w:cs="Arial"/>
          <w:sz w:val="20"/>
          <w:szCs w:val="20"/>
        </w:rPr>
      </w:pPr>
      <w:r w:rsidRPr="00966E6D">
        <w:rPr>
          <w:rFonts w:ascii="Cambria" w:hAnsi="Cambria" w:cs="Arial"/>
          <w:sz w:val="20"/>
          <w:szCs w:val="20"/>
        </w:rPr>
        <w:t xml:space="preserve">Verejný obstarávateľ plánuje budovy zahrnúť do iného balíka budov a túto súťaž realizovať v blízkej budúcnosti. Samotný zvolený postup vo verejnom obstarávaní bude závisieť od zložitosti predmetu zákazky. </w:t>
      </w:r>
    </w:p>
    <w:p w14:paraId="7A2B6D9C" w14:textId="77777777" w:rsidR="003A779B" w:rsidRPr="003A34C9" w:rsidRDefault="003A779B" w:rsidP="003A779B">
      <w:pPr>
        <w:spacing w:after="0" w:line="269" w:lineRule="auto"/>
        <w:jc w:val="both"/>
        <w:rPr>
          <w:rFonts w:ascii="Cambria" w:hAnsi="Cambria" w:cs="Arial"/>
          <w:sz w:val="20"/>
          <w:szCs w:val="20"/>
        </w:rPr>
      </w:pPr>
    </w:p>
    <w:p w14:paraId="59EEAEB6" w14:textId="77777777" w:rsidR="0002717E" w:rsidRPr="003A34C9" w:rsidRDefault="0002717E" w:rsidP="00304767">
      <w:pPr>
        <w:spacing w:after="0" w:line="269" w:lineRule="auto"/>
        <w:rPr>
          <w:rFonts w:ascii="Cambria" w:hAnsi="Cambria" w:cs="Arial"/>
          <w:b/>
          <w:sz w:val="20"/>
          <w:szCs w:val="20"/>
        </w:rPr>
      </w:pPr>
    </w:p>
    <w:p w14:paraId="34B16145" w14:textId="4DCFEA43" w:rsidR="003A34C9" w:rsidRDefault="003A34C9" w:rsidP="003A34C9">
      <w:pPr>
        <w:rPr>
          <w:rFonts w:ascii="Cambria" w:hAnsi="Cambria"/>
          <w:sz w:val="20"/>
          <w:szCs w:val="20"/>
        </w:rPr>
      </w:pPr>
      <w:r w:rsidRPr="00110491">
        <w:rPr>
          <w:rFonts w:ascii="Cambria" w:hAnsi="Cambria"/>
          <w:sz w:val="20"/>
          <w:szCs w:val="20"/>
        </w:rPr>
        <w:t xml:space="preserve">V Bratislave, dňa </w:t>
      </w:r>
      <w:r w:rsidR="004277BD">
        <w:rPr>
          <w:rFonts w:ascii="Cambria" w:hAnsi="Cambria"/>
          <w:sz w:val="20"/>
          <w:szCs w:val="20"/>
        </w:rPr>
        <w:t>1</w:t>
      </w:r>
      <w:r w:rsidR="00053C67">
        <w:rPr>
          <w:rFonts w:ascii="Cambria" w:hAnsi="Cambria"/>
          <w:sz w:val="20"/>
          <w:szCs w:val="20"/>
        </w:rPr>
        <w:t xml:space="preserve">. </w:t>
      </w:r>
      <w:r w:rsidR="004277BD">
        <w:rPr>
          <w:rFonts w:ascii="Cambria" w:hAnsi="Cambria"/>
          <w:sz w:val="20"/>
          <w:szCs w:val="20"/>
        </w:rPr>
        <w:t>4</w:t>
      </w:r>
      <w:r w:rsidR="00053C67">
        <w:rPr>
          <w:rFonts w:ascii="Cambria" w:hAnsi="Cambria"/>
          <w:sz w:val="20"/>
          <w:szCs w:val="20"/>
        </w:rPr>
        <w:t>. 20</w:t>
      </w:r>
      <w:r w:rsidR="004277BD">
        <w:rPr>
          <w:rFonts w:ascii="Cambria" w:hAnsi="Cambria"/>
          <w:sz w:val="20"/>
          <w:szCs w:val="20"/>
        </w:rPr>
        <w:t>20</w:t>
      </w:r>
    </w:p>
    <w:p w14:paraId="2A14B0B2" w14:textId="76CB6677" w:rsidR="003A779B" w:rsidRDefault="003A779B" w:rsidP="003A34C9">
      <w:pPr>
        <w:rPr>
          <w:rFonts w:ascii="Cambria" w:hAnsi="Cambria"/>
          <w:sz w:val="20"/>
          <w:szCs w:val="20"/>
        </w:rPr>
      </w:pPr>
    </w:p>
    <w:p w14:paraId="7426E035" w14:textId="77777777" w:rsidR="003A779B" w:rsidRPr="00110491" w:rsidRDefault="003A779B" w:rsidP="003A34C9">
      <w:pPr>
        <w:rPr>
          <w:rFonts w:ascii="Cambria" w:hAnsi="Cambria"/>
          <w:sz w:val="20"/>
          <w:szCs w:val="20"/>
        </w:rPr>
      </w:pPr>
    </w:p>
    <w:p w14:paraId="13ED7627" w14:textId="77777777" w:rsidR="003A34C9" w:rsidRPr="00110491" w:rsidRDefault="003A34C9" w:rsidP="003A34C9">
      <w:pPr>
        <w:spacing w:after="0" w:line="240" w:lineRule="auto"/>
        <w:rPr>
          <w:rFonts w:ascii="Cambria" w:hAnsi="Cambria"/>
          <w:sz w:val="20"/>
          <w:szCs w:val="20"/>
        </w:rPr>
      </w:pPr>
      <w:r w:rsidRPr="00110491">
        <w:rPr>
          <w:rFonts w:ascii="Cambria" w:hAnsi="Cambria"/>
          <w:sz w:val="20"/>
          <w:szCs w:val="20"/>
        </w:rPr>
        <w:tab/>
      </w:r>
      <w:r w:rsidRPr="00110491">
        <w:rPr>
          <w:rFonts w:ascii="Cambria" w:hAnsi="Cambria"/>
          <w:sz w:val="20"/>
          <w:szCs w:val="20"/>
        </w:rPr>
        <w:tab/>
      </w:r>
      <w:r w:rsidRPr="00110491">
        <w:rPr>
          <w:rFonts w:ascii="Cambria" w:hAnsi="Cambria"/>
          <w:sz w:val="20"/>
          <w:szCs w:val="20"/>
        </w:rPr>
        <w:tab/>
      </w:r>
      <w:r w:rsidRPr="00110491">
        <w:rPr>
          <w:rFonts w:ascii="Cambria" w:hAnsi="Cambria"/>
          <w:sz w:val="20"/>
          <w:szCs w:val="20"/>
        </w:rPr>
        <w:tab/>
      </w:r>
      <w:r w:rsidRPr="00110491">
        <w:rPr>
          <w:rFonts w:ascii="Cambria" w:hAnsi="Cambria"/>
          <w:sz w:val="20"/>
          <w:szCs w:val="20"/>
        </w:rPr>
        <w:tab/>
      </w:r>
      <w:r w:rsidRPr="00110491">
        <w:rPr>
          <w:rFonts w:ascii="Cambria" w:hAnsi="Cambria"/>
          <w:sz w:val="20"/>
          <w:szCs w:val="20"/>
        </w:rPr>
        <w:tab/>
      </w:r>
      <w:r w:rsidRPr="00110491">
        <w:rPr>
          <w:rFonts w:ascii="Cambria" w:hAnsi="Cambria"/>
          <w:sz w:val="20"/>
          <w:szCs w:val="20"/>
        </w:rPr>
        <w:tab/>
      </w:r>
      <w:r w:rsidRPr="00110491">
        <w:rPr>
          <w:rFonts w:ascii="Cambria" w:hAnsi="Cambria"/>
          <w:sz w:val="20"/>
          <w:szCs w:val="20"/>
        </w:rPr>
        <w:tab/>
        <w:t>_________________________</w:t>
      </w:r>
    </w:p>
    <w:p w14:paraId="2FBDA001" w14:textId="42D02DCB" w:rsidR="003A34C9" w:rsidRPr="00110491" w:rsidRDefault="003A34C9" w:rsidP="00992E25">
      <w:pPr>
        <w:spacing w:after="0" w:line="240" w:lineRule="auto"/>
        <w:ind w:left="1416" w:hanging="708"/>
        <w:rPr>
          <w:rFonts w:ascii="Cambria" w:hAnsi="Cambria"/>
          <w:bCs/>
          <w:sz w:val="20"/>
          <w:szCs w:val="20"/>
        </w:rPr>
      </w:pPr>
      <w:r w:rsidRPr="00110491">
        <w:rPr>
          <w:rFonts w:ascii="Cambria" w:hAnsi="Cambria"/>
          <w:color w:val="000000"/>
          <w:sz w:val="20"/>
          <w:szCs w:val="20"/>
        </w:rPr>
        <w:t xml:space="preserve">       </w:t>
      </w:r>
      <w:r w:rsidRPr="00110491">
        <w:rPr>
          <w:rFonts w:ascii="Cambria" w:hAnsi="Cambria"/>
          <w:color w:val="000000"/>
          <w:sz w:val="20"/>
          <w:szCs w:val="20"/>
        </w:rPr>
        <w:tab/>
      </w:r>
      <w:r w:rsidRPr="00110491">
        <w:rPr>
          <w:rFonts w:ascii="Cambria" w:hAnsi="Cambria"/>
          <w:color w:val="000000"/>
          <w:sz w:val="20"/>
          <w:szCs w:val="20"/>
        </w:rPr>
        <w:tab/>
      </w:r>
      <w:r w:rsidRPr="00110491">
        <w:rPr>
          <w:rFonts w:ascii="Cambria" w:hAnsi="Cambria"/>
          <w:color w:val="000000"/>
          <w:sz w:val="20"/>
          <w:szCs w:val="20"/>
        </w:rPr>
        <w:tab/>
      </w:r>
      <w:r w:rsidRPr="00110491">
        <w:rPr>
          <w:rFonts w:ascii="Cambria" w:hAnsi="Cambria"/>
          <w:color w:val="000000"/>
          <w:sz w:val="20"/>
          <w:szCs w:val="20"/>
        </w:rPr>
        <w:tab/>
      </w:r>
      <w:r w:rsidRPr="00110491">
        <w:rPr>
          <w:rFonts w:ascii="Cambria" w:hAnsi="Cambria"/>
          <w:color w:val="000000"/>
          <w:sz w:val="20"/>
          <w:szCs w:val="20"/>
        </w:rPr>
        <w:tab/>
      </w:r>
      <w:r w:rsidRPr="00110491">
        <w:rPr>
          <w:rFonts w:ascii="Cambria" w:hAnsi="Cambria"/>
          <w:color w:val="000000"/>
          <w:sz w:val="20"/>
          <w:szCs w:val="20"/>
        </w:rPr>
        <w:tab/>
        <w:t xml:space="preserve">       </w:t>
      </w:r>
      <w:r w:rsidRPr="00110491">
        <w:rPr>
          <w:rFonts w:ascii="Cambria" w:hAnsi="Cambria"/>
          <w:color w:val="000000"/>
          <w:sz w:val="20"/>
          <w:szCs w:val="20"/>
        </w:rPr>
        <w:tab/>
      </w:r>
      <w:r w:rsidR="00992E25">
        <w:rPr>
          <w:rFonts w:ascii="Cambria" w:hAnsi="Cambria"/>
          <w:sz w:val="20"/>
          <w:szCs w:val="20"/>
        </w:rPr>
        <w:t>Mgr. Michal Garaj</w:t>
      </w:r>
    </w:p>
    <w:p w14:paraId="18B01770" w14:textId="4CA4097B" w:rsidR="0002717E" w:rsidRPr="003A34C9" w:rsidRDefault="00992E25" w:rsidP="003A34C9">
      <w:pPr>
        <w:suppressAutoHyphens/>
        <w:spacing w:after="0" w:line="269" w:lineRule="auto"/>
        <w:rPr>
          <w:rFonts w:ascii="Cambria" w:hAnsi="Cambria" w:cs="Arial"/>
          <w:sz w:val="20"/>
          <w:szCs w:val="20"/>
        </w:rPr>
      </w:pPr>
      <w:r>
        <w:rPr>
          <w:rFonts w:ascii="Cambria" w:hAnsi="Cambria" w:cs="Arial"/>
          <w:sz w:val="20"/>
          <w:szCs w:val="20"/>
        </w:rPr>
        <w:tab/>
      </w:r>
      <w:r>
        <w:rPr>
          <w:rFonts w:ascii="Cambria" w:hAnsi="Cambria" w:cs="Arial"/>
          <w:sz w:val="20"/>
          <w:szCs w:val="20"/>
        </w:rPr>
        <w:tab/>
      </w:r>
      <w:r>
        <w:rPr>
          <w:rFonts w:ascii="Cambria" w:hAnsi="Cambria" w:cs="Arial"/>
          <w:sz w:val="20"/>
          <w:szCs w:val="20"/>
        </w:rPr>
        <w:tab/>
      </w:r>
      <w:r>
        <w:rPr>
          <w:rFonts w:ascii="Cambria" w:hAnsi="Cambria" w:cs="Arial"/>
          <w:sz w:val="20"/>
          <w:szCs w:val="20"/>
        </w:rPr>
        <w:tab/>
      </w:r>
      <w:r>
        <w:rPr>
          <w:rFonts w:ascii="Cambria" w:hAnsi="Cambria" w:cs="Arial"/>
          <w:sz w:val="20"/>
          <w:szCs w:val="20"/>
        </w:rPr>
        <w:tab/>
      </w:r>
      <w:r>
        <w:rPr>
          <w:rFonts w:ascii="Cambria" w:hAnsi="Cambria" w:cs="Arial"/>
          <w:sz w:val="20"/>
          <w:szCs w:val="20"/>
        </w:rPr>
        <w:tab/>
        <w:t xml:space="preserve">            vedúci odboru verejného obstarávania</w:t>
      </w:r>
    </w:p>
    <w:sectPr w:rsidR="0002717E" w:rsidRPr="003A34C9" w:rsidSect="000D7817">
      <w:headerReference w:type="default" r:id="rId7"/>
      <w:footerReference w:type="default" r:id="rId8"/>
      <w:pgSz w:w="11906" w:h="16838"/>
      <w:pgMar w:top="2127" w:right="1417" w:bottom="426" w:left="1417" w:header="708" w:footer="6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26DBA" w14:textId="77777777" w:rsidR="00AE41B1" w:rsidRDefault="00AE41B1" w:rsidP="007C4A72">
      <w:pPr>
        <w:spacing w:after="0" w:line="240" w:lineRule="auto"/>
      </w:pPr>
      <w:r>
        <w:separator/>
      </w:r>
    </w:p>
  </w:endnote>
  <w:endnote w:type="continuationSeparator" w:id="0">
    <w:p w14:paraId="00EE1BC2" w14:textId="77777777" w:rsidR="00AE41B1" w:rsidRDefault="00AE41B1" w:rsidP="007C4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ba Pro">
    <w:altName w:val="Calibri"/>
    <w:panose1 w:val="00000000000000000000"/>
    <w:charset w:val="00"/>
    <w:family w:val="swiss"/>
    <w:notTrueType/>
    <w:pitch w:val="variable"/>
    <w:sig w:usb0="A000022F" w:usb1="0000002A" w:usb2="00000000" w:usb3="00000000" w:csb0="00000097"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roba Pro CE">
    <w:altName w:val="Calibri"/>
    <w:panose1 w:val="00000000000000000000"/>
    <w:charset w:val="EE"/>
    <w:family w:val="swiss"/>
    <w:notTrueType/>
    <w:pitch w:val="variable"/>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BB7F6" w14:textId="77777777" w:rsidR="0002717E" w:rsidRPr="000D7817" w:rsidRDefault="0002717E">
    <w:pPr>
      <w:pStyle w:val="Pta"/>
      <w:jc w:val="right"/>
      <w:rPr>
        <w:rFonts w:asciiTheme="majorHAnsi" w:hAnsiTheme="majorHAnsi"/>
        <w:sz w:val="20"/>
        <w:szCs w:val="20"/>
      </w:rPr>
    </w:pPr>
    <w:r w:rsidRPr="000D7817">
      <w:rPr>
        <w:rFonts w:asciiTheme="majorHAnsi" w:hAnsiTheme="majorHAnsi"/>
        <w:sz w:val="20"/>
        <w:szCs w:val="20"/>
      </w:rPr>
      <w:fldChar w:fldCharType="begin"/>
    </w:r>
    <w:r w:rsidRPr="000D7817">
      <w:rPr>
        <w:rFonts w:asciiTheme="majorHAnsi" w:hAnsiTheme="majorHAnsi"/>
        <w:sz w:val="20"/>
        <w:szCs w:val="20"/>
      </w:rPr>
      <w:instrText>PAGE   \* MERGEFORMAT</w:instrText>
    </w:r>
    <w:r w:rsidRPr="000D7817">
      <w:rPr>
        <w:rFonts w:asciiTheme="majorHAnsi" w:hAnsiTheme="majorHAnsi"/>
        <w:sz w:val="20"/>
        <w:szCs w:val="20"/>
      </w:rPr>
      <w:fldChar w:fldCharType="separate"/>
    </w:r>
    <w:r w:rsidR="00304767" w:rsidRPr="000D7817">
      <w:rPr>
        <w:rFonts w:asciiTheme="majorHAnsi" w:hAnsiTheme="majorHAnsi"/>
        <w:noProof/>
        <w:sz w:val="20"/>
        <w:szCs w:val="20"/>
      </w:rPr>
      <w:t>3</w:t>
    </w:r>
    <w:r w:rsidRPr="000D7817">
      <w:rPr>
        <w:rFonts w:asciiTheme="majorHAnsi" w:hAnsiTheme="majorHAnsi"/>
        <w:sz w:val="20"/>
        <w:szCs w:val="20"/>
      </w:rPr>
      <w:fldChar w:fldCharType="end"/>
    </w:r>
  </w:p>
  <w:p w14:paraId="4D3D3CD8" w14:textId="77777777" w:rsidR="0002717E" w:rsidRDefault="0002717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1E038" w14:textId="77777777" w:rsidR="00AE41B1" w:rsidRDefault="00AE41B1" w:rsidP="007C4A72">
      <w:pPr>
        <w:spacing w:after="0" w:line="240" w:lineRule="auto"/>
      </w:pPr>
      <w:r>
        <w:separator/>
      </w:r>
    </w:p>
  </w:footnote>
  <w:footnote w:type="continuationSeparator" w:id="0">
    <w:p w14:paraId="1685CEDA" w14:textId="77777777" w:rsidR="00AE41B1" w:rsidRDefault="00AE41B1" w:rsidP="007C4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6C392" w14:textId="77777777" w:rsidR="0002717E" w:rsidRPr="003A34C9" w:rsidRDefault="003A34C9" w:rsidP="003A34C9">
    <w:pPr>
      <w:pStyle w:val="Hlavika"/>
    </w:pPr>
    <w:r w:rsidRPr="000A78AC">
      <w:rPr>
        <w:rFonts w:ascii="Cambria" w:hAnsi="Cambria"/>
        <w:noProof/>
        <w:sz w:val="20"/>
        <w:szCs w:val="20"/>
      </w:rPr>
      <w:drawing>
        <wp:inline distT="0" distB="0" distL="0" distR="0" wp14:anchorId="599C1B6D" wp14:editId="54D5155D">
          <wp:extent cx="5760720" cy="1139190"/>
          <wp:effectExtent l="0" t="0" r="0" b="0"/>
          <wp:docPr id="9" name="Obrázok 9" descr="cid:image008.png@01D4EA0A.ED69B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cid:image008.png@01D4EA0A.ED69BF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60720" cy="11391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66D20"/>
    <w:multiLevelType w:val="hybridMultilevel"/>
    <w:tmpl w:val="4BFA0C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5C5DC9"/>
    <w:multiLevelType w:val="hybridMultilevel"/>
    <w:tmpl w:val="735CEFB8"/>
    <w:lvl w:ilvl="0" w:tplc="30F829E0">
      <w:start w:val="3"/>
      <w:numFmt w:val="bullet"/>
      <w:lvlText w:val="-"/>
      <w:lvlJc w:val="left"/>
      <w:pPr>
        <w:ind w:left="1854" w:hanging="360"/>
      </w:pPr>
      <w:rPr>
        <w:rFonts w:ascii="Proba Pro" w:eastAsia="Times New Roman" w:hAnsi="Proba Pro" w:hint="default"/>
        <w:color w:val="000000"/>
      </w:rPr>
    </w:lvl>
    <w:lvl w:ilvl="1" w:tplc="041B0003" w:tentative="1">
      <w:start w:val="1"/>
      <w:numFmt w:val="bullet"/>
      <w:lvlText w:val="o"/>
      <w:lvlJc w:val="left"/>
      <w:pPr>
        <w:ind w:left="2574" w:hanging="360"/>
      </w:pPr>
      <w:rPr>
        <w:rFonts w:ascii="Courier New" w:hAnsi="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 w15:restartNumberingAfterBreak="0">
    <w:nsid w:val="1E432B76"/>
    <w:multiLevelType w:val="hybridMultilevel"/>
    <w:tmpl w:val="AFAE3EE0"/>
    <w:lvl w:ilvl="0" w:tplc="BB009690">
      <w:numFmt w:val="bullet"/>
      <w:lvlText w:val="-"/>
      <w:lvlJc w:val="left"/>
      <w:pPr>
        <w:ind w:left="1080" w:hanging="360"/>
      </w:pPr>
      <w:rPr>
        <w:rFonts w:ascii="Arial" w:eastAsia="Times New Roman" w:hAnsi="Arial" w:hint="default"/>
        <w:b w:val="0"/>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1F1E07A5"/>
    <w:multiLevelType w:val="hybridMultilevel"/>
    <w:tmpl w:val="425C22D4"/>
    <w:lvl w:ilvl="0" w:tplc="16FAED0A">
      <w:start w:val="321"/>
      <w:numFmt w:val="bullet"/>
      <w:lvlText w:val="-"/>
      <w:lvlJc w:val="left"/>
      <w:pPr>
        <w:ind w:left="720" w:hanging="360"/>
      </w:pPr>
      <w:rPr>
        <w:rFonts w:ascii="Arial" w:eastAsia="Times New Roman" w:hAnsi="Arial" w:hint="default"/>
        <w:b w:val="0"/>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8AA2EF1"/>
    <w:multiLevelType w:val="hybridMultilevel"/>
    <w:tmpl w:val="22B86E0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335F7CE6"/>
    <w:multiLevelType w:val="hybridMultilevel"/>
    <w:tmpl w:val="6FFE075A"/>
    <w:lvl w:ilvl="0" w:tplc="9FD09EB0">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9C60F99"/>
    <w:multiLevelType w:val="multilevel"/>
    <w:tmpl w:val="25B85FD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15:restartNumberingAfterBreak="0">
    <w:nsid w:val="641A7390"/>
    <w:multiLevelType w:val="hybridMultilevel"/>
    <w:tmpl w:val="FFA4F260"/>
    <w:lvl w:ilvl="0" w:tplc="847636B4">
      <w:numFmt w:val="bullet"/>
      <w:lvlText w:val="-"/>
      <w:lvlJc w:val="left"/>
      <w:pPr>
        <w:ind w:left="1776" w:hanging="360"/>
      </w:pPr>
      <w:rPr>
        <w:rFonts w:ascii="Arial" w:eastAsia="Times New Roman" w:hAnsi="Arial" w:hint="default"/>
      </w:rPr>
    </w:lvl>
    <w:lvl w:ilvl="1" w:tplc="041B0003" w:tentative="1">
      <w:start w:val="1"/>
      <w:numFmt w:val="bullet"/>
      <w:lvlText w:val="o"/>
      <w:lvlJc w:val="left"/>
      <w:pPr>
        <w:ind w:left="2496" w:hanging="360"/>
      </w:pPr>
      <w:rPr>
        <w:rFonts w:ascii="Courier New" w:hAnsi="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8" w15:restartNumberingAfterBreak="0">
    <w:nsid w:val="70DD1CA3"/>
    <w:multiLevelType w:val="hybridMultilevel"/>
    <w:tmpl w:val="84702172"/>
    <w:lvl w:ilvl="0" w:tplc="14CC1F50">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CAB"/>
    <w:rsid w:val="00002F79"/>
    <w:rsid w:val="000066F4"/>
    <w:rsid w:val="00011CB8"/>
    <w:rsid w:val="00015CAB"/>
    <w:rsid w:val="000169A3"/>
    <w:rsid w:val="0001755D"/>
    <w:rsid w:val="00020282"/>
    <w:rsid w:val="0002588A"/>
    <w:rsid w:val="0002717E"/>
    <w:rsid w:val="00031124"/>
    <w:rsid w:val="00036FE9"/>
    <w:rsid w:val="00037DD1"/>
    <w:rsid w:val="0004267E"/>
    <w:rsid w:val="00045BC3"/>
    <w:rsid w:val="00053C67"/>
    <w:rsid w:val="00057526"/>
    <w:rsid w:val="0006556F"/>
    <w:rsid w:val="000703E1"/>
    <w:rsid w:val="0007716F"/>
    <w:rsid w:val="000772EB"/>
    <w:rsid w:val="00077974"/>
    <w:rsid w:val="000810D0"/>
    <w:rsid w:val="00083AFE"/>
    <w:rsid w:val="00084871"/>
    <w:rsid w:val="000879DA"/>
    <w:rsid w:val="00093C27"/>
    <w:rsid w:val="00095D7B"/>
    <w:rsid w:val="000A4F59"/>
    <w:rsid w:val="000A76A3"/>
    <w:rsid w:val="000B0633"/>
    <w:rsid w:val="000B2DDB"/>
    <w:rsid w:val="000B7923"/>
    <w:rsid w:val="000C01AE"/>
    <w:rsid w:val="000C0526"/>
    <w:rsid w:val="000C1DEA"/>
    <w:rsid w:val="000C301B"/>
    <w:rsid w:val="000C366C"/>
    <w:rsid w:val="000D2939"/>
    <w:rsid w:val="000D2EB4"/>
    <w:rsid w:val="000D43CE"/>
    <w:rsid w:val="000D48FC"/>
    <w:rsid w:val="000D514B"/>
    <w:rsid w:val="000D7817"/>
    <w:rsid w:val="000D7DC8"/>
    <w:rsid w:val="000E2EC0"/>
    <w:rsid w:val="000E3A3F"/>
    <w:rsid w:val="000F48DD"/>
    <w:rsid w:val="000F655B"/>
    <w:rsid w:val="00103EFA"/>
    <w:rsid w:val="00115398"/>
    <w:rsid w:val="00117B6C"/>
    <w:rsid w:val="00131C4B"/>
    <w:rsid w:val="00131FA7"/>
    <w:rsid w:val="0013324E"/>
    <w:rsid w:val="00144F99"/>
    <w:rsid w:val="00151D06"/>
    <w:rsid w:val="0015211C"/>
    <w:rsid w:val="00155F29"/>
    <w:rsid w:val="001666F6"/>
    <w:rsid w:val="0017071F"/>
    <w:rsid w:val="001724B3"/>
    <w:rsid w:val="001769F5"/>
    <w:rsid w:val="00180D2E"/>
    <w:rsid w:val="00190F20"/>
    <w:rsid w:val="0019365C"/>
    <w:rsid w:val="00194731"/>
    <w:rsid w:val="001976F3"/>
    <w:rsid w:val="001A1795"/>
    <w:rsid w:val="001A71F6"/>
    <w:rsid w:val="001A74EF"/>
    <w:rsid w:val="001B29D7"/>
    <w:rsid w:val="001B36A9"/>
    <w:rsid w:val="001B7EE5"/>
    <w:rsid w:val="001C1C69"/>
    <w:rsid w:val="001C2A51"/>
    <w:rsid w:val="001D0749"/>
    <w:rsid w:val="001D3CB1"/>
    <w:rsid w:val="001E0466"/>
    <w:rsid w:val="001E16B5"/>
    <w:rsid w:val="001E2AC9"/>
    <w:rsid w:val="001E42C8"/>
    <w:rsid w:val="001F0D47"/>
    <w:rsid w:val="001F688E"/>
    <w:rsid w:val="00200516"/>
    <w:rsid w:val="00204AF8"/>
    <w:rsid w:val="00205914"/>
    <w:rsid w:val="00207F0B"/>
    <w:rsid w:val="00212A93"/>
    <w:rsid w:val="002153A9"/>
    <w:rsid w:val="0022589F"/>
    <w:rsid w:val="00230491"/>
    <w:rsid w:val="00233730"/>
    <w:rsid w:val="00233903"/>
    <w:rsid w:val="00234CDA"/>
    <w:rsid w:val="00240182"/>
    <w:rsid w:val="00241BE8"/>
    <w:rsid w:val="00241E3D"/>
    <w:rsid w:val="00243159"/>
    <w:rsid w:val="00244F10"/>
    <w:rsid w:val="0025125A"/>
    <w:rsid w:val="00261C0B"/>
    <w:rsid w:val="00264254"/>
    <w:rsid w:val="0026552A"/>
    <w:rsid w:val="00267012"/>
    <w:rsid w:val="00267081"/>
    <w:rsid w:val="0027602C"/>
    <w:rsid w:val="00280C7C"/>
    <w:rsid w:val="00281012"/>
    <w:rsid w:val="00283776"/>
    <w:rsid w:val="002927FC"/>
    <w:rsid w:val="00297CC6"/>
    <w:rsid w:val="002A0BF2"/>
    <w:rsid w:val="002A17FC"/>
    <w:rsid w:val="002A4135"/>
    <w:rsid w:val="002A55B7"/>
    <w:rsid w:val="002A5A77"/>
    <w:rsid w:val="002A5C62"/>
    <w:rsid w:val="002B7B13"/>
    <w:rsid w:val="002E09D0"/>
    <w:rsid w:val="002E1990"/>
    <w:rsid w:val="002E330F"/>
    <w:rsid w:val="002E3E5D"/>
    <w:rsid w:val="002F12EF"/>
    <w:rsid w:val="002F3430"/>
    <w:rsid w:val="002F62F3"/>
    <w:rsid w:val="00300782"/>
    <w:rsid w:val="00302BD9"/>
    <w:rsid w:val="00304767"/>
    <w:rsid w:val="00312003"/>
    <w:rsid w:val="00316E19"/>
    <w:rsid w:val="00317222"/>
    <w:rsid w:val="00317B61"/>
    <w:rsid w:val="00324581"/>
    <w:rsid w:val="0033058F"/>
    <w:rsid w:val="00331455"/>
    <w:rsid w:val="00336981"/>
    <w:rsid w:val="00337FD2"/>
    <w:rsid w:val="0034176A"/>
    <w:rsid w:val="00343325"/>
    <w:rsid w:val="0034500B"/>
    <w:rsid w:val="0034794E"/>
    <w:rsid w:val="00352B4E"/>
    <w:rsid w:val="003602EA"/>
    <w:rsid w:val="003604BF"/>
    <w:rsid w:val="00360DE3"/>
    <w:rsid w:val="0036442B"/>
    <w:rsid w:val="00365359"/>
    <w:rsid w:val="00365636"/>
    <w:rsid w:val="00366360"/>
    <w:rsid w:val="00372157"/>
    <w:rsid w:val="00372375"/>
    <w:rsid w:val="00373691"/>
    <w:rsid w:val="00374D8C"/>
    <w:rsid w:val="003809C1"/>
    <w:rsid w:val="00386132"/>
    <w:rsid w:val="00393FA4"/>
    <w:rsid w:val="00396839"/>
    <w:rsid w:val="003A105F"/>
    <w:rsid w:val="003A1CDF"/>
    <w:rsid w:val="003A34C9"/>
    <w:rsid w:val="003A4A7D"/>
    <w:rsid w:val="003A700F"/>
    <w:rsid w:val="003A779B"/>
    <w:rsid w:val="003A7958"/>
    <w:rsid w:val="003B0293"/>
    <w:rsid w:val="003B03C0"/>
    <w:rsid w:val="003B1B4F"/>
    <w:rsid w:val="003B3FE1"/>
    <w:rsid w:val="003B401B"/>
    <w:rsid w:val="003B4570"/>
    <w:rsid w:val="003C1589"/>
    <w:rsid w:val="003D346D"/>
    <w:rsid w:val="003E03C6"/>
    <w:rsid w:val="003E09F2"/>
    <w:rsid w:val="003E2900"/>
    <w:rsid w:val="003E3C41"/>
    <w:rsid w:val="003E7BA5"/>
    <w:rsid w:val="003F1D91"/>
    <w:rsid w:val="003F3655"/>
    <w:rsid w:val="003F6976"/>
    <w:rsid w:val="00404684"/>
    <w:rsid w:val="00406C49"/>
    <w:rsid w:val="00417DC0"/>
    <w:rsid w:val="00421AB6"/>
    <w:rsid w:val="00424318"/>
    <w:rsid w:val="00424C94"/>
    <w:rsid w:val="004277BD"/>
    <w:rsid w:val="004278D6"/>
    <w:rsid w:val="004419E9"/>
    <w:rsid w:val="00450641"/>
    <w:rsid w:val="0045355C"/>
    <w:rsid w:val="00453E6F"/>
    <w:rsid w:val="00454828"/>
    <w:rsid w:val="00462D6C"/>
    <w:rsid w:val="004649C3"/>
    <w:rsid w:val="00466763"/>
    <w:rsid w:val="00474633"/>
    <w:rsid w:val="00475F76"/>
    <w:rsid w:val="00477271"/>
    <w:rsid w:val="00493B17"/>
    <w:rsid w:val="0049454E"/>
    <w:rsid w:val="00494B9E"/>
    <w:rsid w:val="00497DB5"/>
    <w:rsid w:val="004A0B8C"/>
    <w:rsid w:val="004A6965"/>
    <w:rsid w:val="004B50EF"/>
    <w:rsid w:val="004B66FE"/>
    <w:rsid w:val="004B7777"/>
    <w:rsid w:val="004C1ED5"/>
    <w:rsid w:val="004C2795"/>
    <w:rsid w:val="004C44BF"/>
    <w:rsid w:val="004C5F9C"/>
    <w:rsid w:val="004C7D2E"/>
    <w:rsid w:val="004C7D79"/>
    <w:rsid w:val="004D566E"/>
    <w:rsid w:val="004D67AD"/>
    <w:rsid w:val="004D78D7"/>
    <w:rsid w:val="004D7FA7"/>
    <w:rsid w:val="004E22A4"/>
    <w:rsid w:val="004E28A8"/>
    <w:rsid w:val="004E3DC0"/>
    <w:rsid w:val="004E495C"/>
    <w:rsid w:val="004E5860"/>
    <w:rsid w:val="004E6036"/>
    <w:rsid w:val="004F2634"/>
    <w:rsid w:val="004F4B62"/>
    <w:rsid w:val="004F59CB"/>
    <w:rsid w:val="004F78C6"/>
    <w:rsid w:val="00500A86"/>
    <w:rsid w:val="00503391"/>
    <w:rsid w:val="00507A06"/>
    <w:rsid w:val="005105FB"/>
    <w:rsid w:val="0051244D"/>
    <w:rsid w:val="00512CEA"/>
    <w:rsid w:val="00514BB9"/>
    <w:rsid w:val="00515071"/>
    <w:rsid w:val="00515ABB"/>
    <w:rsid w:val="005305F2"/>
    <w:rsid w:val="005308E3"/>
    <w:rsid w:val="0053265F"/>
    <w:rsid w:val="005372F4"/>
    <w:rsid w:val="00537335"/>
    <w:rsid w:val="0053752C"/>
    <w:rsid w:val="00540171"/>
    <w:rsid w:val="0054275E"/>
    <w:rsid w:val="00543716"/>
    <w:rsid w:val="0054627D"/>
    <w:rsid w:val="0054785B"/>
    <w:rsid w:val="00555C8D"/>
    <w:rsid w:val="00557D4F"/>
    <w:rsid w:val="00560DC0"/>
    <w:rsid w:val="00561C27"/>
    <w:rsid w:val="00561EE7"/>
    <w:rsid w:val="00563F9F"/>
    <w:rsid w:val="00566E25"/>
    <w:rsid w:val="005678E5"/>
    <w:rsid w:val="00570A12"/>
    <w:rsid w:val="00571A38"/>
    <w:rsid w:val="005735F9"/>
    <w:rsid w:val="0057553D"/>
    <w:rsid w:val="00585D10"/>
    <w:rsid w:val="00585E50"/>
    <w:rsid w:val="00591F76"/>
    <w:rsid w:val="0059373C"/>
    <w:rsid w:val="00594F43"/>
    <w:rsid w:val="00595BAB"/>
    <w:rsid w:val="00597C4D"/>
    <w:rsid w:val="005A2A4F"/>
    <w:rsid w:val="005A2CAE"/>
    <w:rsid w:val="005A51B9"/>
    <w:rsid w:val="005A657D"/>
    <w:rsid w:val="005C2FB8"/>
    <w:rsid w:val="005C2FDB"/>
    <w:rsid w:val="005C78A2"/>
    <w:rsid w:val="005C7E28"/>
    <w:rsid w:val="005D0D04"/>
    <w:rsid w:val="005D1401"/>
    <w:rsid w:val="005D3172"/>
    <w:rsid w:val="005D33AF"/>
    <w:rsid w:val="005E067C"/>
    <w:rsid w:val="005E0EE5"/>
    <w:rsid w:val="005E58C0"/>
    <w:rsid w:val="005E7634"/>
    <w:rsid w:val="005F31C4"/>
    <w:rsid w:val="005F4A0D"/>
    <w:rsid w:val="00615AF3"/>
    <w:rsid w:val="00616A25"/>
    <w:rsid w:val="00621E0E"/>
    <w:rsid w:val="00625A04"/>
    <w:rsid w:val="0062774A"/>
    <w:rsid w:val="00630501"/>
    <w:rsid w:val="00630D36"/>
    <w:rsid w:val="006320DF"/>
    <w:rsid w:val="0063660E"/>
    <w:rsid w:val="00646B6F"/>
    <w:rsid w:val="0065050E"/>
    <w:rsid w:val="00651DA6"/>
    <w:rsid w:val="006540E4"/>
    <w:rsid w:val="006540E8"/>
    <w:rsid w:val="00656CBB"/>
    <w:rsid w:val="00662967"/>
    <w:rsid w:val="006644D0"/>
    <w:rsid w:val="00665615"/>
    <w:rsid w:val="00671A13"/>
    <w:rsid w:val="0067382A"/>
    <w:rsid w:val="00674D5D"/>
    <w:rsid w:val="006755A7"/>
    <w:rsid w:val="00680DF3"/>
    <w:rsid w:val="00691502"/>
    <w:rsid w:val="00693AB7"/>
    <w:rsid w:val="00696990"/>
    <w:rsid w:val="006B2946"/>
    <w:rsid w:val="006B4714"/>
    <w:rsid w:val="006B4BE0"/>
    <w:rsid w:val="006C4EC2"/>
    <w:rsid w:val="006D3990"/>
    <w:rsid w:val="006D4293"/>
    <w:rsid w:val="006F034E"/>
    <w:rsid w:val="006F0EE7"/>
    <w:rsid w:val="007004D2"/>
    <w:rsid w:val="00707C6B"/>
    <w:rsid w:val="00710644"/>
    <w:rsid w:val="007128FE"/>
    <w:rsid w:val="0071344B"/>
    <w:rsid w:val="007252BC"/>
    <w:rsid w:val="00733CFB"/>
    <w:rsid w:val="00736822"/>
    <w:rsid w:val="00742046"/>
    <w:rsid w:val="0074260A"/>
    <w:rsid w:val="00744E0F"/>
    <w:rsid w:val="00744F9F"/>
    <w:rsid w:val="00753DA5"/>
    <w:rsid w:val="007565FA"/>
    <w:rsid w:val="00762717"/>
    <w:rsid w:val="00776161"/>
    <w:rsid w:val="0077631C"/>
    <w:rsid w:val="00782CF5"/>
    <w:rsid w:val="007911D2"/>
    <w:rsid w:val="00791F29"/>
    <w:rsid w:val="00796B91"/>
    <w:rsid w:val="007C2E0C"/>
    <w:rsid w:val="007C4A72"/>
    <w:rsid w:val="007C7FD5"/>
    <w:rsid w:val="007D0F74"/>
    <w:rsid w:val="007D3BF8"/>
    <w:rsid w:val="007E2390"/>
    <w:rsid w:val="007E6178"/>
    <w:rsid w:val="007F6C19"/>
    <w:rsid w:val="00800411"/>
    <w:rsid w:val="0080108B"/>
    <w:rsid w:val="00805997"/>
    <w:rsid w:val="00810F40"/>
    <w:rsid w:val="0081111A"/>
    <w:rsid w:val="00811A25"/>
    <w:rsid w:val="00815684"/>
    <w:rsid w:val="00817909"/>
    <w:rsid w:val="008207BD"/>
    <w:rsid w:val="008319B4"/>
    <w:rsid w:val="00834BB1"/>
    <w:rsid w:val="0084200A"/>
    <w:rsid w:val="008452F7"/>
    <w:rsid w:val="00852992"/>
    <w:rsid w:val="0085304A"/>
    <w:rsid w:val="00853893"/>
    <w:rsid w:val="008548E6"/>
    <w:rsid w:val="00854F24"/>
    <w:rsid w:val="0085533B"/>
    <w:rsid w:val="00861E28"/>
    <w:rsid w:val="0086417B"/>
    <w:rsid w:val="0086432E"/>
    <w:rsid w:val="0087093E"/>
    <w:rsid w:val="008709DB"/>
    <w:rsid w:val="00874D73"/>
    <w:rsid w:val="00875BFE"/>
    <w:rsid w:val="00875D6F"/>
    <w:rsid w:val="00881542"/>
    <w:rsid w:val="00883772"/>
    <w:rsid w:val="00884C6A"/>
    <w:rsid w:val="0088508E"/>
    <w:rsid w:val="00892879"/>
    <w:rsid w:val="00892F9B"/>
    <w:rsid w:val="00894F70"/>
    <w:rsid w:val="00895D1D"/>
    <w:rsid w:val="00896193"/>
    <w:rsid w:val="00896DF4"/>
    <w:rsid w:val="008A15AC"/>
    <w:rsid w:val="008A235F"/>
    <w:rsid w:val="008A38DF"/>
    <w:rsid w:val="008B0FA3"/>
    <w:rsid w:val="008B16CB"/>
    <w:rsid w:val="008B4C84"/>
    <w:rsid w:val="008B6644"/>
    <w:rsid w:val="008C0751"/>
    <w:rsid w:val="008C169B"/>
    <w:rsid w:val="008C1724"/>
    <w:rsid w:val="008C2848"/>
    <w:rsid w:val="008C3156"/>
    <w:rsid w:val="008D6654"/>
    <w:rsid w:val="008E3A04"/>
    <w:rsid w:val="008E4DBE"/>
    <w:rsid w:val="008F33EA"/>
    <w:rsid w:val="008F3640"/>
    <w:rsid w:val="00901832"/>
    <w:rsid w:val="009056FB"/>
    <w:rsid w:val="00912FB0"/>
    <w:rsid w:val="00916170"/>
    <w:rsid w:val="00920730"/>
    <w:rsid w:val="00920C52"/>
    <w:rsid w:val="00927C5D"/>
    <w:rsid w:val="00927E46"/>
    <w:rsid w:val="009309EA"/>
    <w:rsid w:val="00932FAB"/>
    <w:rsid w:val="00935AE1"/>
    <w:rsid w:val="009428C2"/>
    <w:rsid w:val="00966E6D"/>
    <w:rsid w:val="00974C74"/>
    <w:rsid w:val="009817F3"/>
    <w:rsid w:val="009818F3"/>
    <w:rsid w:val="009825F9"/>
    <w:rsid w:val="00982B5C"/>
    <w:rsid w:val="00992E25"/>
    <w:rsid w:val="00994F59"/>
    <w:rsid w:val="009A397E"/>
    <w:rsid w:val="009A6DC3"/>
    <w:rsid w:val="009B07DA"/>
    <w:rsid w:val="009D16E4"/>
    <w:rsid w:val="009D26B3"/>
    <w:rsid w:val="009D2934"/>
    <w:rsid w:val="009D5596"/>
    <w:rsid w:val="009E470B"/>
    <w:rsid w:val="009E6037"/>
    <w:rsid w:val="009F0B73"/>
    <w:rsid w:val="009F21E0"/>
    <w:rsid w:val="009F26A9"/>
    <w:rsid w:val="009F5BC4"/>
    <w:rsid w:val="00A054A6"/>
    <w:rsid w:val="00A1298C"/>
    <w:rsid w:val="00A14AC1"/>
    <w:rsid w:val="00A15D3F"/>
    <w:rsid w:val="00A22DCF"/>
    <w:rsid w:val="00A42EAC"/>
    <w:rsid w:val="00A47DEC"/>
    <w:rsid w:val="00A566AC"/>
    <w:rsid w:val="00A6373C"/>
    <w:rsid w:val="00A648BA"/>
    <w:rsid w:val="00A67173"/>
    <w:rsid w:val="00A72DE2"/>
    <w:rsid w:val="00A740A1"/>
    <w:rsid w:val="00A827E9"/>
    <w:rsid w:val="00A85C79"/>
    <w:rsid w:val="00A8790F"/>
    <w:rsid w:val="00A87939"/>
    <w:rsid w:val="00A91EE8"/>
    <w:rsid w:val="00A922A7"/>
    <w:rsid w:val="00A951C6"/>
    <w:rsid w:val="00A958E1"/>
    <w:rsid w:val="00A95BEB"/>
    <w:rsid w:val="00A96746"/>
    <w:rsid w:val="00AA1B81"/>
    <w:rsid w:val="00AB1FFD"/>
    <w:rsid w:val="00AB366C"/>
    <w:rsid w:val="00AB3DFA"/>
    <w:rsid w:val="00AB4284"/>
    <w:rsid w:val="00AC2A51"/>
    <w:rsid w:val="00AC34D5"/>
    <w:rsid w:val="00AC42AF"/>
    <w:rsid w:val="00AC69E8"/>
    <w:rsid w:val="00AC6EE2"/>
    <w:rsid w:val="00AD2052"/>
    <w:rsid w:val="00AD3C90"/>
    <w:rsid w:val="00AD42BB"/>
    <w:rsid w:val="00AD7AEF"/>
    <w:rsid w:val="00AD7D5C"/>
    <w:rsid w:val="00AE071B"/>
    <w:rsid w:val="00AE0954"/>
    <w:rsid w:val="00AE41B1"/>
    <w:rsid w:val="00AE45AD"/>
    <w:rsid w:val="00AE5C5D"/>
    <w:rsid w:val="00AE693E"/>
    <w:rsid w:val="00B0022D"/>
    <w:rsid w:val="00B0176C"/>
    <w:rsid w:val="00B114B7"/>
    <w:rsid w:val="00B223EB"/>
    <w:rsid w:val="00B2279B"/>
    <w:rsid w:val="00B22833"/>
    <w:rsid w:val="00B24791"/>
    <w:rsid w:val="00B278F5"/>
    <w:rsid w:val="00B36E47"/>
    <w:rsid w:val="00B43D94"/>
    <w:rsid w:val="00B44E7E"/>
    <w:rsid w:val="00B453B0"/>
    <w:rsid w:val="00B54F25"/>
    <w:rsid w:val="00B62417"/>
    <w:rsid w:val="00B6359C"/>
    <w:rsid w:val="00B64851"/>
    <w:rsid w:val="00B677E2"/>
    <w:rsid w:val="00B724E7"/>
    <w:rsid w:val="00B74E1A"/>
    <w:rsid w:val="00B75CBC"/>
    <w:rsid w:val="00B83B5D"/>
    <w:rsid w:val="00B84038"/>
    <w:rsid w:val="00B87EDE"/>
    <w:rsid w:val="00B9095F"/>
    <w:rsid w:val="00B91992"/>
    <w:rsid w:val="00B9697D"/>
    <w:rsid w:val="00BA04BA"/>
    <w:rsid w:val="00BA0997"/>
    <w:rsid w:val="00BB0056"/>
    <w:rsid w:val="00BB1B73"/>
    <w:rsid w:val="00BB1D9C"/>
    <w:rsid w:val="00BD3C4A"/>
    <w:rsid w:val="00BD50D0"/>
    <w:rsid w:val="00BD62F3"/>
    <w:rsid w:val="00BE06FE"/>
    <w:rsid w:val="00BE2C9F"/>
    <w:rsid w:val="00BE4BFD"/>
    <w:rsid w:val="00BF6C84"/>
    <w:rsid w:val="00C05017"/>
    <w:rsid w:val="00C17FB3"/>
    <w:rsid w:val="00C22593"/>
    <w:rsid w:val="00C22663"/>
    <w:rsid w:val="00C2282D"/>
    <w:rsid w:val="00C2310B"/>
    <w:rsid w:val="00C2407C"/>
    <w:rsid w:val="00C251D5"/>
    <w:rsid w:val="00C27BFA"/>
    <w:rsid w:val="00C365E5"/>
    <w:rsid w:val="00C36803"/>
    <w:rsid w:val="00C414FD"/>
    <w:rsid w:val="00C45194"/>
    <w:rsid w:val="00C4691E"/>
    <w:rsid w:val="00C500F6"/>
    <w:rsid w:val="00C566D8"/>
    <w:rsid w:val="00C65265"/>
    <w:rsid w:val="00C654EC"/>
    <w:rsid w:val="00C66BD4"/>
    <w:rsid w:val="00C71912"/>
    <w:rsid w:val="00C74F18"/>
    <w:rsid w:val="00C8005E"/>
    <w:rsid w:val="00C81077"/>
    <w:rsid w:val="00C818BF"/>
    <w:rsid w:val="00C84A82"/>
    <w:rsid w:val="00C84F45"/>
    <w:rsid w:val="00C854BB"/>
    <w:rsid w:val="00C95689"/>
    <w:rsid w:val="00C979DB"/>
    <w:rsid w:val="00CA3744"/>
    <w:rsid w:val="00CA3BFB"/>
    <w:rsid w:val="00CA673D"/>
    <w:rsid w:val="00CA7A9C"/>
    <w:rsid w:val="00CB0651"/>
    <w:rsid w:val="00CB7D08"/>
    <w:rsid w:val="00CC634F"/>
    <w:rsid w:val="00CC7206"/>
    <w:rsid w:val="00CE04D8"/>
    <w:rsid w:val="00CE20A0"/>
    <w:rsid w:val="00CE2DBC"/>
    <w:rsid w:val="00CE46DA"/>
    <w:rsid w:val="00CF1E9D"/>
    <w:rsid w:val="00CF72CC"/>
    <w:rsid w:val="00D0187E"/>
    <w:rsid w:val="00D01BAE"/>
    <w:rsid w:val="00D11F2E"/>
    <w:rsid w:val="00D1219F"/>
    <w:rsid w:val="00D17DBF"/>
    <w:rsid w:val="00D227C2"/>
    <w:rsid w:val="00D27189"/>
    <w:rsid w:val="00D276A2"/>
    <w:rsid w:val="00D36D9A"/>
    <w:rsid w:val="00D42D92"/>
    <w:rsid w:val="00D447EB"/>
    <w:rsid w:val="00D626D4"/>
    <w:rsid w:val="00D62825"/>
    <w:rsid w:val="00D70E93"/>
    <w:rsid w:val="00D719D3"/>
    <w:rsid w:val="00D829CC"/>
    <w:rsid w:val="00D830BC"/>
    <w:rsid w:val="00D83B46"/>
    <w:rsid w:val="00D8445D"/>
    <w:rsid w:val="00D84EC8"/>
    <w:rsid w:val="00D97A8D"/>
    <w:rsid w:val="00D97B32"/>
    <w:rsid w:val="00DA5867"/>
    <w:rsid w:val="00DB0BCC"/>
    <w:rsid w:val="00DB1ACA"/>
    <w:rsid w:val="00DB35C5"/>
    <w:rsid w:val="00DB57D9"/>
    <w:rsid w:val="00DB5EA6"/>
    <w:rsid w:val="00DC4DB3"/>
    <w:rsid w:val="00DC4F7D"/>
    <w:rsid w:val="00DC6FFF"/>
    <w:rsid w:val="00DC733A"/>
    <w:rsid w:val="00DD1924"/>
    <w:rsid w:val="00DD30B4"/>
    <w:rsid w:val="00DD7CA1"/>
    <w:rsid w:val="00DF0690"/>
    <w:rsid w:val="00E1449E"/>
    <w:rsid w:val="00E17393"/>
    <w:rsid w:val="00E204C3"/>
    <w:rsid w:val="00E20F29"/>
    <w:rsid w:val="00E235E5"/>
    <w:rsid w:val="00E26A27"/>
    <w:rsid w:val="00E313B3"/>
    <w:rsid w:val="00E4109D"/>
    <w:rsid w:val="00E41E85"/>
    <w:rsid w:val="00E4217C"/>
    <w:rsid w:val="00E44F3F"/>
    <w:rsid w:val="00E518B4"/>
    <w:rsid w:val="00E53709"/>
    <w:rsid w:val="00E622D9"/>
    <w:rsid w:val="00E66656"/>
    <w:rsid w:val="00E66B04"/>
    <w:rsid w:val="00E7056F"/>
    <w:rsid w:val="00E706E9"/>
    <w:rsid w:val="00E72B80"/>
    <w:rsid w:val="00E75507"/>
    <w:rsid w:val="00E81B39"/>
    <w:rsid w:val="00E83664"/>
    <w:rsid w:val="00E84840"/>
    <w:rsid w:val="00E878EB"/>
    <w:rsid w:val="00E912EC"/>
    <w:rsid w:val="00E93F0A"/>
    <w:rsid w:val="00EA7766"/>
    <w:rsid w:val="00EB1514"/>
    <w:rsid w:val="00EB3923"/>
    <w:rsid w:val="00EB5C1A"/>
    <w:rsid w:val="00EC1FA7"/>
    <w:rsid w:val="00EC3DF4"/>
    <w:rsid w:val="00EC76B3"/>
    <w:rsid w:val="00EE3F01"/>
    <w:rsid w:val="00EF3309"/>
    <w:rsid w:val="00EF40A9"/>
    <w:rsid w:val="00EF514A"/>
    <w:rsid w:val="00EF6090"/>
    <w:rsid w:val="00EF6E4C"/>
    <w:rsid w:val="00F04E32"/>
    <w:rsid w:val="00F17D95"/>
    <w:rsid w:val="00F226D5"/>
    <w:rsid w:val="00F31BBF"/>
    <w:rsid w:val="00F3613B"/>
    <w:rsid w:val="00F37704"/>
    <w:rsid w:val="00F43B1A"/>
    <w:rsid w:val="00F506ED"/>
    <w:rsid w:val="00F54231"/>
    <w:rsid w:val="00F546A6"/>
    <w:rsid w:val="00F54B21"/>
    <w:rsid w:val="00F559B9"/>
    <w:rsid w:val="00F5618F"/>
    <w:rsid w:val="00F617A7"/>
    <w:rsid w:val="00F62BCC"/>
    <w:rsid w:val="00F63606"/>
    <w:rsid w:val="00F6637C"/>
    <w:rsid w:val="00F75BF3"/>
    <w:rsid w:val="00F77AE2"/>
    <w:rsid w:val="00F77BE8"/>
    <w:rsid w:val="00F80212"/>
    <w:rsid w:val="00F806C8"/>
    <w:rsid w:val="00F8113A"/>
    <w:rsid w:val="00F819D6"/>
    <w:rsid w:val="00F97698"/>
    <w:rsid w:val="00FA0709"/>
    <w:rsid w:val="00FA39C1"/>
    <w:rsid w:val="00FA7D9E"/>
    <w:rsid w:val="00FB475D"/>
    <w:rsid w:val="00FC36D0"/>
    <w:rsid w:val="00FD6915"/>
    <w:rsid w:val="00FD6E9A"/>
    <w:rsid w:val="00FD6F5E"/>
    <w:rsid w:val="00FD7B99"/>
    <w:rsid w:val="00FF02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A3955C"/>
  <w15:docId w15:val="{78A50513-DC95-4F30-8A77-21114C378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rsid w:val="004B7777"/>
    <w:pPr>
      <w:spacing w:after="200" w:line="276" w:lineRule="auto"/>
    </w:pPr>
    <w:rPr>
      <w:sz w:val="22"/>
      <w:szCs w:val="22"/>
      <w:lang w:eastAsia="en-US"/>
    </w:rPr>
  </w:style>
  <w:style w:type="paragraph" w:styleId="Nadpis1">
    <w:name w:val="heading 1"/>
    <w:basedOn w:val="Normlny"/>
    <w:next w:val="Normlny"/>
    <w:link w:val="Nadpis1Char"/>
    <w:uiPriority w:val="99"/>
    <w:qFormat/>
    <w:rsid w:val="00F43B1A"/>
    <w:pPr>
      <w:keepNext/>
      <w:keepLines/>
      <w:spacing w:before="480" w:after="0"/>
      <w:outlineLvl w:val="0"/>
    </w:pPr>
    <w:rPr>
      <w:rFonts w:ascii="Cambria" w:eastAsia="Times New Roman" w:hAnsi="Cambria"/>
      <w:b/>
      <w:bCs/>
      <w:color w:val="365F91"/>
      <w:sz w:val="28"/>
      <w:szCs w:val="28"/>
    </w:rPr>
  </w:style>
  <w:style w:type="paragraph" w:styleId="Nadpis2">
    <w:name w:val="heading 2"/>
    <w:basedOn w:val="Normlny"/>
    <w:next w:val="Normlny"/>
    <w:link w:val="Nadpis2Char"/>
    <w:uiPriority w:val="99"/>
    <w:qFormat/>
    <w:rsid w:val="00F43B1A"/>
    <w:pPr>
      <w:keepNext/>
      <w:keepLines/>
      <w:spacing w:before="200" w:after="0"/>
      <w:outlineLvl w:val="1"/>
    </w:pPr>
    <w:rPr>
      <w:rFonts w:ascii="Cambria" w:eastAsia="Times New Roman" w:hAnsi="Cambria"/>
      <w:b/>
      <w:bCs/>
      <w:color w:val="4F81BD"/>
      <w:sz w:val="26"/>
      <w:szCs w:val="26"/>
    </w:rPr>
  </w:style>
  <w:style w:type="paragraph" w:styleId="Nadpis3">
    <w:name w:val="heading 3"/>
    <w:basedOn w:val="Normlny"/>
    <w:next w:val="Normlny"/>
    <w:link w:val="Nadpis3Char"/>
    <w:uiPriority w:val="99"/>
    <w:qFormat/>
    <w:rsid w:val="00F43B1A"/>
    <w:pPr>
      <w:keepNext/>
      <w:keepLines/>
      <w:spacing w:before="200" w:after="0"/>
      <w:outlineLvl w:val="2"/>
    </w:pPr>
    <w:rPr>
      <w:rFonts w:ascii="Cambria" w:eastAsia="Times New Roman" w:hAnsi="Cambria"/>
      <w:b/>
      <w:bCs/>
      <w:color w:val="4F81BD"/>
    </w:rPr>
  </w:style>
  <w:style w:type="paragraph" w:styleId="Nadpis4">
    <w:name w:val="heading 4"/>
    <w:basedOn w:val="Normlny"/>
    <w:next w:val="Normlny"/>
    <w:link w:val="Nadpis4Char"/>
    <w:semiHidden/>
    <w:unhideWhenUsed/>
    <w:qFormat/>
    <w:locked/>
    <w:rsid w:val="003A34C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F43B1A"/>
    <w:rPr>
      <w:rFonts w:ascii="Cambria" w:hAnsi="Cambria" w:cs="Times New Roman"/>
      <w:b/>
      <w:bCs/>
      <w:color w:val="365F91"/>
      <w:sz w:val="28"/>
      <w:szCs w:val="28"/>
    </w:rPr>
  </w:style>
  <w:style w:type="character" w:customStyle="1" w:styleId="Nadpis2Char">
    <w:name w:val="Nadpis 2 Char"/>
    <w:link w:val="Nadpis2"/>
    <w:uiPriority w:val="99"/>
    <w:locked/>
    <w:rsid w:val="00F43B1A"/>
    <w:rPr>
      <w:rFonts w:ascii="Cambria" w:hAnsi="Cambria" w:cs="Times New Roman"/>
      <w:b/>
      <w:bCs/>
      <w:color w:val="4F81BD"/>
      <w:sz w:val="26"/>
      <w:szCs w:val="26"/>
    </w:rPr>
  </w:style>
  <w:style w:type="character" w:customStyle="1" w:styleId="Nadpis3Char">
    <w:name w:val="Nadpis 3 Char"/>
    <w:link w:val="Nadpis3"/>
    <w:uiPriority w:val="99"/>
    <w:locked/>
    <w:rsid w:val="00F43B1A"/>
    <w:rPr>
      <w:rFonts w:ascii="Cambria" w:hAnsi="Cambria" w:cs="Times New Roman"/>
      <w:b/>
      <w:bCs/>
      <w:color w:val="4F81BD"/>
    </w:rPr>
  </w:style>
  <w:style w:type="paragraph" w:styleId="Textbubliny">
    <w:name w:val="Balloon Text"/>
    <w:basedOn w:val="Normlny"/>
    <w:link w:val="TextbublinyChar"/>
    <w:uiPriority w:val="99"/>
    <w:semiHidden/>
    <w:rsid w:val="00015CAB"/>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015CAB"/>
    <w:rPr>
      <w:rFonts w:ascii="Tahoma" w:hAnsi="Tahoma" w:cs="Tahoma"/>
      <w:sz w:val="16"/>
      <w:szCs w:val="16"/>
    </w:rPr>
  </w:style>
  <w:style w:type="paragraph" w:styleId="Odsekzoznamu">
    <w:name w:val="List Paragraph"/>
    <w:basedOn w:val="Normlny"/>
    <w:uiPriority w:val="99"/>
    <w:qFormat/>
    <w:rsid w:val="00015CAB"/>
    <w:pPr>
      <w:ind w:left="720"/>
      <w:contextualSpacing/>
    </w:pPr>
  </w:style>
  <w:style w:type="paragraph" w:styleId="Hlavika">
    <w:name w:val="header"/>
    <w:aliases w:val="Header - Table"/>
    <w:basedOn w:val="Normlny"/>
    <w:link w:val="HlavikaChar"/>
    <w:uiPriority w:val="99"/>
    <w:rsid w:val="007C4A72"/>
    <w:pPr>
      <w:tabs>
        <w:tab w:val="center" w:pos="4536"/>
        <w:tab w:val="right" w:pos="9072"/>
      </w:tabs>
      <w:spacing w:after="0" w:line="240" w:lineRule="auto"/>
    </w:pPr>
  </w:style>
  <w:style w:type="character" w:customStyle="1" w:styleId="HlavikaChar">
    <w:name w:val="Hlavička Char"/>
    <w:aliases w:val="Header - Table Char"/>
    <w:link w:val="Hlavika"/>
    <w:uiPriority w:val="99"/>
    <w:locked/>
    <w:rsid w:val="007C4A72"/>
    <w:rPr>
      <w:rFonts w:cs="Times New Roman"/>
    </w:rPr>
  </w:style>
  <w:style w:type="paragraph" w:styleId="Pta">
    <w:name w:val="footer"/>
    <w:basedOn w:val="Normlny"/>
    <w:link w:val="PtaChar"/>
    <w:uiPriority w:val="99"/>
    <w:rsid w:val="007C4A72"/>
    <w:pPr>
      <w:tabs>
        <w:tab w:val="center" w:pos="4536"/>
        <w:tab w:val="right" w:pos="9072"/>
      </w:tabs>
      <w:spacing w:after="0" w:line="240" w:lineRule="auto"/>
    </w:pPr>
  </w:style>
  <w:style w:type="character" w:customStyle="1" w:styleId="PtaChar">
    <w:name w:val="Päta Char"/>
    <w:link w:val="Pta"/>
    <w:uiPriority w:val="99"/>
    <w:locked/>
    <w:rsid w:val="007C4A72"/>
    <w:rPr>
      <w:rFonts w:cs="Times New Roman"/>
    </w:rPr>
  </w:style>
  <w:style w:type="paragraph" w:styleId="Zkladntext">
    <w:name w:val="Body Text"/>
    <w:basedOn w:val="Normlny"/>
    <w:link w:val="ZkladntextChar"/>
    <w:uiPriority w:val="99"/>
    <w:rsid w:val="00F43B1A"/>
    <w:pPr>
      <w:spacing w:after="120"/>
    </w:pPr>
  </w:style>
  <w:style w:type="character" w:customStyle="1" w:styleId="ZkladntextChar">
    <w:name w:val="Základný text Char"/>
    <w:link w:val="Zkladntext"/>
    <w:uiPriority w:val="99"/>
    <w:locked/>
    <w:rsid w:val="00F43B1A"/>
    <w:rPr>
      <w:rFonts w:cs="Times New Roman"/>
    </w:rPr>
  </w:style>
  <w:style w:type="paragraph" w:styleId="Zarkazkladnhotextu">
    <w:name w:val="Body Text Indent"/>
    <w:basedOn w:val="Normlny"/>
    <w:link w:val="ZarkazkladnhotextuChar"/>
    <w:uiPriority w:val="99"/>
    <w:semiHidden/>
    <w:rsid w:val="00F43B1A"/>
    <w:pPr>
      <w:spacing w:after="120"/>
      <w:ind w:left="283"/>
    </w:pPr>
  </w:style>
  <w:style w:type="character" w:customStyle="1" w:styleId="ZarkazkladnhotextuChar">
    <w:name w:val="Zarážka základného textu Char"/>
    <w:link w:val="Zarkazkladnhotextu"/>
    <w:uiPriority w:val="99"/>
    <w:semiHidden/>
    <w:locked/>
    <w:rsid w:val="00F43B1A"/>
    <w:rPr>
      <w:rFonts w:cs="Times New Roman"/>
    </w:rPr>
  </w:style>
  <w:style w:type="paragraph" w:styleId="Prvzarkazkladnhotextu2">
    <w:name w:val="Body Text First Indent 2"/>
    <w:basedOn w:val="Zarkazkladnhotextu"/>
    <w:link w:val="Prvzarkazkladnhotextu2Char"/>
    <w:uiPriority w:val="99"/>
    <w:rsid w:val="00F43B1A"/>
    <w:pPr>
      <w:spacing w:after="200"/>
      <w:ind w:left="360" w:firstLine="360"/>
    </w:pPr>
  </w:style>
  <w:style w:type="character" w:customStyle="1" w:styleId="Prvzarkazkladnhotextu2Char">
    <w:name w:val="Prvá zarážka základného textu 2 Char"/>
    <w:basedOn w:val="ZarkazkladnhotextuChar"/>
    <w:link w:val="Prvzarkazkladnhotextu2"/>
    <w:uiPriority w:val="99"/>
    <w:locked/>
    <w:rsid w:val="00F43B1A"/>
    <w:rPr>
      <w:rFonts w:cs="Times New Roman"/>
    </w:rPr>
  </w:style>
  <w:style w:type="character" w:customStyle="1" w:styleId="apple-converted-space">
    <w:name w:val="apple-converted-space"/>
    <w:uiPriority w:val="99"/>
    <w:rsid w:val="00B43D94"/>
    <w:rPr>
      <w:rFonts w:cs="Times New Roman"/>
    </w:rPr>
  </w:style>
  <w:style w:type="character" w:customStyle="1" w:styleId="bold">
    <w:name w:val="bold"/>
    <w:uiPriority w:val="99"/>
    <w:rsid w:val="00264254"/>
    <w:rPr>
      <w:rFonts w:cs="Times New Roman"/>
    </w:rPr>
  </w:style>
  <w:style w:type="character" w:customStyle="1" w:styleId="ra">
    <w:name w:val="ra"/>
    <w:uiPriority w:val="99"/>
    <w:rsid w:val="0026552A"/>
    <w:rPr>
      <w:rFonts w:cs="Times New Roman"/>
    </w:rPr>
  </w:style>
  <w:style w:type="character" w:customStyle="1" w:styleId="Nadpis4Char">
    <w:name w:val="Nadpis 4 Char"/>
    <w:basedOn w:val="Predvolenpsmoodseku"/>
    <w:link w:val="Nadpis4"/>
    <w:semiHidden/>
    <w:rsid w:val="003A34C9"/>
    <w:rPr>
      <w:rFonts w:asciiTheme="majorHAnsi" w:eastAsiaTheme="majorEastAsia" w:hAnsiTheme="majorHAnsi" w:cstheme="majorBidi"/>
      <w:i/>
      <w:iCs/>
      <w:color w:val="365F91" w:themeColor="accent1" w:themeShade="BF"/>
      <w:sz w:val="22"/>
      <w:szCs w:val="22"/>
      <w:lang w:eastAsia="en-US"/>
    </w:rPr>
  </w:style>
  <w:style w:type="character" w:styleId="Odkaznakomentr">
    <w:name w:val="annotation reference"/>
    <w:basedOn w:val="Predvolenpsmoodseku"/>
    <w:uiPriority w:val="99"/>
    <w:semiHidden/>
    <w:unhideWhenUsed/>
    <w:rsid w:val="00E84840"/>
    <w:rPr>
      <w:sz w:val="16"/>
      <w:szCs w:val="16"/>
    </w:rPr>
  </w:style>
  <w:style w:type="paragraph" w:styleId="Textkomentra">
    <w:name w:val="annotation text"/>
    <w:basedOn w:val="Normlny"/>
    <w:link w:val="TextkomentraChar"/>
    <w:uiPriority w:val="99"/>
    <w:semiHidden/>
    <w:unhideWhenUsed/>
    <w:rsid w:val="00E84840"/>
    <w:pPr>
      <w:spacing w:line="240" w:lineRule="auto"/>
    </w:pPr>
    <w:rPr>
      <w:sz w:val="20"/>
      <w:szCs w:val="20"/>
    </w:rPr>
  </w:style>
  <w:style w:type="character" w:customStyle="1" w:styleId="TextkomentraChar">
    <w:name w:val="Text komentára Char"/>
    <w:basedOn w:val="Predvolenpsmoodseku"/>
    <w:link w:val="Textkomentra"/>
    <w:uiPriority w:val="99"/>
    <w:semiHidden/>
    <w:rsid w:val="00E84840"/>
    <w:rPr>
      <w:lang w:eastAsia="en-US"/>
    </w:rPr>
  </w:style>
  <w:style w:type="paragraph" w:styleId="Predmetkomentra">
    <w:name w:val="annotation subject"/>
    <w:basedOn w:val="Textkomentra"/>
    <w:next w:val="Textkomentra"/>
    <w:link w:val="PredmetkomentraChar"/>
    <w:uiPriority w:val="99"/>
    <w:semiHidden/>
    <w:unhideWhenUsed/>
    <w:rsid w:val="00E84840"/>
    <w:rPr>
      <w:b/>
      <w:bCs/>
    </w:rPr>
  </w:style>
  <w:style w:type="character" w:customStyle="1" w:styleId="PredmetkomentraChar">
    <w:name w:val="Predmet komentára Char"/>
    <w:basedOn w:val="TextkomentraChar"/>
    <w:link w:val="Predmetkomentra"/>
    <w:uiPriority w:val="99"/>
    <w:semiHidden/>
    <w:rsid w:val="00E8484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6585504">
      <w:marLeft w:val="0"/>
      <w:marRight w:val="0"/>
      <w:marTop w:val="0"/>
      <w:marBottom w:val="0"/>
      <w:divBdr>
        <w:top w:val="none" w:sz="0" w:space="0" w:color="auto"/>
        <w:left w:val="none" w:sz="0" w:space="0" w:color="auto"/>
        <w:bottom w:val="none" w:sz="0" w:space="0" w:color="auto"/>
        <w:right w:val="none" w:sz="0" w:space="0" w:color="auto"/>
      </w:divBdr>
    </w:div>
    <w:div w:id="14865855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8.png@01D4EA0A.ED69BF5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1186</Words>
  <Characters>6761</Characters>
  <Application>Microsoft Office Word</Application>
  <DocSecurity>0</DocSecurity>
  <Lines>56</Lines>
  <Paragraphs>15</Paragraphs>
  <ScaleCrop>false</ScaleCrop>
  <HeadingPairs>
    <vt:vector size="2" baseType="variant">
      <vt:variant>
        <vt:lpstr>Názov</vt:lpstr>
      </vt:variant>
      <vt:variant>
        <vt:i4>1</vt:i4>
      </vt:variant>
    </vt:vector>
  </HeadingPairs>
  <TitlesOfParts>
    <vt:vector size="1" baseType="lpstr">
      <vt:lpstr/>
    </vt:vector>
  </TitlesOfParts>
  <Company>Your Company Name</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dc:creator>
  <cp:keywords/>
  <dc:description/>
  <cp:lastModifiedBy>Heriban Tomáš, Mgr.</cp:lastModifiedBy>
  <cp:revision>5</cp:revision>
  <cp:lastPrinted>2018-09-07T10:56:00Z</cp:lastPrinted>
  <dcterms:created xsi:type="dcterms:W3CDTF">2019-11-04T15:23:00Z</dcterms:created>
  <dcterms:modified xsi:type="dcterms:W3CDTF">2020-04-01T10:32:00Z</dcterms:modified>
</cp:coreProperties>
</file>