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6C932894" w:rsidR="00687B9F" w:rsidRDefault="00DA79D7" w:rsidP="006D2F7C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 xml:space="preserve">uvedie na základe </w:t>
      </w:r>
      <w:r w:rsidR="006D2F7C" w:rsidRPr="006D2F7C">
        <w:rPr>
          <w:rFonts w:ascii="Garamond" w:hAnsi="Garamond" w:cs="Arial"/>
        </w:rPr>
        <w:t>Čl. VI</w:t>
      </w:r>
      <w:r w:rsidR="006D2F7C">
        <w:rPr>
          <w:rFonts w:ascii="Garamond" w:hAnsi="Garamond" w:cs="Arial"/>
        </w:rPr>
        <w:t xml:space="preserve"> </w:t>
      </w:r>
      <w:r w:rsidR="006D2F7C" w:rsidRPr="006D2F7C">
        <w:rPr>
          <w:rFonts w:ascii="Garamond" w:hAnsi="Garamond" w:cs="Arial"/>
        </w:rPr>
        <w:t>Cena predmetu dohody</w:t>
      </w:r>
      <w:r w:rsidR="006D2F7C" w:rsidRPr="006D2F7C">
        <w:rPr>
          <w:rFonts w:ascii="Garamond" w:hAnsi="Garamond" w:cs="Arial"/>
        </w:rPr>
        <w:t xml:space="preserve"> </w:t>
      </w:r>
      <w:r w:rsidR="00687B9F">
        <w:rPr>
          <w:rFonts w:ascii="Garamond" w:hAnsi="Garamond" w:cs="Arial"/>
        </w:rPr>
        <w:t>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>.</w:t>
      </w:r>
      <w:r w:rsidR="00B23F53">
        <w:rPr>
          <w:rFonts w:ascii="Garamond" w:hAnsi="Garamond" w:cs="Arial"/>
        </w:rPr>
        <w:t xml:space="preserve"> </w:t>
      </w:r>
      <w:r w:rsidR="00B23F53" w:rsidRPr="00687B9F">
        <w:rPr>
          <w:rFonts w:ascii="Garamond" w:hAnsi="Garamond" w:cs="Arial"/>
        </w:rPr>
        <w:t>Celkov</w:t>
      </w:r>
      <w:r w:rsidR="00B23F53">
        <w:rPr>
          <w:rFonts w:ascii="Garamond" w:hAnsi="Garamond" w:cs="Arial"/>
        </w:rPr>
        <w:t>ú</w:t>
      </w:r>
      <w:r w:rsidR="00B23F53" w:rsidRPr="00687B9F">
        <w:rPr>
          <w:rFonts w:ascii="Garamond" w:hAnsi="Garamond" w:cs="Arial"/>
        </w:rPr>
        <w:t xml:space="preserve"> cen</w:t>
      </w:r>
      <w:r w:rsidR="00B23F53">
        <w:rPr>
          <w:rFonts w:ascii="Garamond" w:hAnsi="Garamond" w:cs="Arial"/>
        </w:rPr>
        <w:t>u</w:t>
      </w:r>
      <w:r w:rsidR="00B23F53" w:rsidRPr="00687B9F">
        <w:rPr>
          <w:rFonts w:ascii="Garamond" w:hAnsi="Garamond" w:cs="Arial"/>
        </w:rPr>
        <w:t xml:space="preserve"> za predmet zákazky</w:t>
      </w:r>
      <w:r w:rsidR="00B23F53">
        <w:rPr>
          <w:rFonts w:ascii="Garamond" w:hAnsi="Garamond" w:cs="Arial"/>
        </w:rPr>
        <w:t xml:space="preserve"> je potrebné zaokrúhliť na dve desatinné miesta.</w:t>
      </w:r>
      <w:r>
        <w:rPr>
          <w:rFonts w:ascii="Garamond" w:hAnsi="Garamond" w:cs="Arial"/>
        </w:rPr>
        <w:t>)</w:t>
      </w: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  <w:bookmarkStart w:id="0" w:name="_GoBack"/>
      <w:bookmarkEnd w:id="0"/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1E70B" w14:textId="77777777" w:rsidR="005B50FD" w:rsidRDefault="005B50FD" w:rsidP="00B53F15">
      <w:r>
        <w:separator/>
      </w:r>
    </w:p>
  </w:endnote>
  <w:endnote w:type="continuationSeparator" w:id="0">
    <w:p w14:paraId="7B990D30" w14:textId="77777777" w:rsidR="005B50FD" w:rsidRDefault="005B50FD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9B2C" w14:textId="77777777" w:rsidR="005B50FD" w:rsidRDefault="005B50FD" w:rsidP="00B53F15">
      <w:r>
        <w:separator/>
      </w:r>
    </w:p>
  </w:footnote>
  <w:footnote w:type="continuationSeparator" w:id="0">
    <w:p w14:paraId="29E03995" w14:textId="77777777" w:rsidR="005B50FD" w:rsidRDefault="005B50FD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50FD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2F7C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B43E-E310-48A5-9DDD-1D843AC6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12</cp:revision>
  <cp:lastPrinted>2021-04-06T06:02:00Z</cp:lastPrinted>
  <dcterms:created xsi:type="dcterms:W3CDTF">2021-11-25T11:25:00Z</dcterms:created>
  <dcterms:modified xsi:type="dcterms:W3CDTF">2023-05-30T11:13:00Z</dcterms:modified>
</cp:coreProperties>
</file>