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08" w:rsidRDefault="00722C08" w:rsidP="00722C08">
      <w:pPr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9F6FD6">
        <w:rPr>
          <w:rFonts w:cstheme="minorHAnsi"/>
          <w:b/>
          <w:bCs/>
          <w:color w:val="0070C0"/>
          <w:sz w:val="28"/>
          <w:szCs w:val="28"/>
        </w:rPr>
        <w:t>ČASŤ B1.   OPIS PREDMETU ZÁKAZKY</w:t>
      </w:r>
    </w:p>
    <w:p w:rsidR="00722C08" w:rsidRPr="009F6FD6" w:rsidRDefault="00722C08" w:rsidP="00722C08">
      <w:pPr>
        <w:jc w:val="both"/>
        <w:rPr>
          <w:rFonts w:ascii="Calibri" w:hAnsi="Calibri" w:cs="Calibri"/>
          <w:b/>
          <w:color w:val="0070C0"/>
          <w:sz w:val="28"/>
          <w:szCs w:val="28"/>
        </w:rPr>
      </w:pPr>
      <w:bookmarkStart w:id="0" w:name="_GoBack"/>
      <w:bookmarkEnd w:id="0"/>
    </w:p>
    <w:p w:rsidR="00722C08" w:rsidRPr="007B5878" w:rsidRDefault="00722C08" w:rsidP="00722C08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Úvodné slovo do problematiky 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Cieľom projektu je do prostredia Úradu pre reguláciu hazardných hier zaviesť optimalizáciu procesov riadenia kybernetickej bezpečnosti, riadenie rizík, kontinuity činností, riadenie incidentov pomocou finančných prostriedkov z dopytovej výzvy „Rozvoj </w:t>
      </w:r>
      <w:proofErr w:type="spellStart"/>
      <w:r w:rsidRPr="007B5878">
        <w:rPr>
          <w:rFonts w:ascii="Tahoma" w:hAnsi="Tahoma" w:cs="Tahoma"/>
        </w:rPr>
        <w:t>governance</w:t>
      </w:r>
      <w:proofErr w:type="spellEnd"/>
      <w:r w:rsidRPr="007B5878">
        <w:rPr>
          <w:rFonts w:ascii="Tahoma" w:hAnsi="Tahoma" w:cs="Tahoma"/>
        </w:rPr>
        <w:t xml:space="preserve"> a úrovne informačnej a kybernetickej bezpečnosti v podsektore VS“. Po implementácii projektu bude proces zavedený a ďalej vykonávaný internými zamestnancami, predovšetkým manažérom kybernetickej a informačnej bezpečnosti a ďalším bezpečnostnými zamestnancami. Hlavným výsledkom realizácie projektu bude realizácia a optimalizácia procesov riadenia kybernetickej bezpečnosti, analýza rizík, riadenie rizík, kontinuity činností, riadenie incidentov, spracovanie stratégie informačnej a kybernetickej bezpečnosti a politiky informačnej bezpečnosti (ďalej len „služby riadiacej bezpečnostnej dokumentácie a procesov riadenia informačnej a kybernetickej bezpečnosti“) do prostredia Úradu pre reguláciu hazardných hier. Aktuálne Úrad pre reguláciu hazardných hier nemá implementované riešenia na komplexné opatrenia kybernetickej bezpečnosti povinné v zmysle zákona č. 69/2018 Z. z. o kybernetickej bezpečnosti a zákona č. 95/2019 Z. z. o informačných technológiách vo verejnej správe. Z externého pohľadu sa zvyšuje frekvencia a závažnosť útokov, z interného pohľadu sa zase neustále zvyšuje závislosť na informačných aktívach a IT systémoch. Zvyšujú sa teda hrozby, zraniteľnosti a následne aj dopady bezpečnostných incidentov a preto je potrebné zvýšiť úroveň a kvalitu poskytovaných IT služieb a aj procesov riadenia kybernetickej bezpečnosti.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Pre projekt zvýšenia úrovne kybernetickej bezpečnosti sú potrebné nasledovné aktivity.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Klasifikácia informácií a kategorizácia sietí a informačných systémov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Smernica o bezpečnej prevádzke IS a sietí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Politika BCM vrátane stratégie obnovy a návrh pred-vyplnenej šablóny pre BCP a DRP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Vykonanie analýzy rizík a analýzy dopadov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Návrh katalógu rizík a spôsobov ich riadenia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Klientsky modul evidencie informačných aktív, ich klasifikácie a kategorizácie a riadenia rizík a incidentov. Tento modul reprezentuje nástroja na evidenciu procesov pre riadenie kybernetickej bezpečnosti, rizík,  zraniteľností a hrozieb. 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Plán ľudských zdrojov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Nastavenie politík v prostredí úradu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Vypracovať analýzu funkčnej závislosti všetkých aktív na základnú službu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Zaviesť metodiku riadenia celého životného cyklu všetkých aktív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Zaviesť procesy na výkon riadenia aktív a rizík a tak isto implementácia nástroja na riadenie rizík a politík v organizácií URHH. 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Vytvoriť a formalizovať postupy pri zaradení osoby do bezpečnostných rolí, presunu práv, povinností a zodpovedností vo vzťahu ku kybernetickej bezpečnosti na inú osobu a nastaviť úlohy, povinnosti a zodpovednosti pri týchto postupoch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Vypracovať plán rozvoja bezpečnostného povedomia a pravidelného vzdelávania zamestnancov, administrátorov, osôb zastávajúcich niektorú z bezpečnostných rolí a dodávateľov a tento plán vykonávať v praxi vo forme úvodného školenia, preškolenia pri </w:t>
      </w:r>
      <w:r w:rsidRPr="007B5878">
        <w:rPr>
          <w:rFonts w:ascii="Tahoma" w:hAnsi="Tahoma" w:cs="Tahoma"/>
        </w:rPr>
        <w:lastRenderedPageBreak/>
        <w:t>zmene pracovnej pozície alebo pravidelného ročného školenia formou e-learningu a o absolvovaní týchto školení uchovávať záznam.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Vytvoriť a formalizovať pravidlá a postupy na riešenie prípadov porušenia bezpečnostnej politiky zo strany používateľov, administrátorov, osôb zastávajúcich niektorú z bezpečnostných rolí a dodávateľov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Vytvoriť a formalizovať postupy pri skončení pracovnoprávneho vzťahu alebo iného obdobného pracovného alebo zmluvného vzťahu s používateľom, administrátorom, s osobou zastávajúcou niektorú z bezpečnostných rolí umožňujúcich presun práv, povinností a zodpovedností na inú novú osobu.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Vytvoriť a formalizovať postupy na obmedzenie alebo odňatie prístupových oprávnení a privilégií v prípade porušenia bezpečnostných politík vybranými pozíciami v spoločnosti.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Vypracovať analýzu dopadov definovaných havarijných scenárov na základnú službu a jej komponenty.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Definovať jednotlivé požiadavky na RTO, RTO a iné a aplikovať ich do postupov a technologických procesov zálohovania a testovania obnovy.</w:t>
      </w: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Zaviesť požiadavky vyplývajúce z plánov obnovy aj do dodávateľských zmlúv.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Detailný popis potrieb je nasledovný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 tejto kapitole sa bude budeme venovať jednotlivým aktivitám, dokumentom a riešeniam, ktoré je potrebné dodať na URHH, na nápravu nálezov po kybernetickom audite. </w:t>
      </w:r>
    </w:p>
    <w:p w:rsidR="00722C08" w:rsidRPr="007B5878" w:rsidRDefault="00722C08" w:rsidP="00722C08">
      <w:pPr>
        <w:rPr>
          <w:rFonts w:ascii="Tahoma" w:hAnsi="Tahoma" w:cs="Tahoma"/>
        </w:rPr>
      </w:pPr>
      <w:bookmarkStart w:id="1" w:name="_Hlk131562752"/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Klasifikácia informácií a kategorizácia sietí a informačných systémov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Je požadované vytvoriť Smernicu pre výkon identifikácie a inventarizácie aktív a následne spôsobu ich klasifikácie a kategorizácie IS a sietí.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Na klasifikácii sa budú podieľať aj interní zamestnanci, cieľom projektu je aj transfer know-how, aby si bola organizácia schopná klasifikáciu následne realizovať aj vlastnými silami.</w:t>
      </w:r>
    </w:p>
    <w:p w:rsidR="00722C08" w:rsidRPr="007B5878" w:rsidRDefault="00722C08" w:rsidP="00722C08">
      <w:pPr>
        <w:pStyle w:val="Odsekzoznamu"/>
        <w:ind w:left="1440"/>
        <w:jc w:val="both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Smernica o bezpečnej prevádzke IS a sietí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Organizácia zabezpečuje ochranu informácií v sieťach a v podporných zariadeniach, ktoré ich v sieťach spracúvajú. Siete sú v organizácií primerane riadené a spravované, čím sa zabezpečuje ochrana informácií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 systémoch a aplikáciách. Bude pokrývať najmä oblasti: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bezpečná správa a prevádzka IS a sietí,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riadenie zmien,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riadenie kapacít,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riadenie záplat a aktualizácii,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zálohovanie dát,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lastRenderedPageBreak/>
        <w:t>- posudzovanie technických zraniteľnosti,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správa používateľov a riadenie prístupov,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- bezpečnostné požiadavky pre prístupové práva a účty privilegovaných používateľov.</w:t>
      </w:r>
    </w:p>
    <w:p w:rsidR="00722C08" w:rsidRPr="007B5878" w:rsidRDefault="00722C08" w:rsidP="00722C08">
      <w:pPr>
        <w:pStyle w:val="Odsekzoznamu"/>
        <w:ind w:left="1440"/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ab/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Vykonanie analýzy rizík a analýzy dopadov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Analýza rizík je výstupom komplexnej a hĺbkovej analýzy rizík IS . Vykonaná analýza rizík IS  je aktuálna pre danú etapu projektu. Do úvahy boli brané nasledovné normy, zákony a štandardy: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</w:t>
      </w:r>
      <w:r w:rsidRPr="007B5878">
        <w:rPr>
          <w:rFonts w:ascii="Tahoma" w:hAnsi="Tahoma" w:cs="Tahoma"/>
        </w:rPr>
        <w:tab/>
        <w:t xml:space="preserve">Metodika analýzy rizík pre uplatnenie v procesoch riadenia rizika v zmysle požiadaviek zákona č. 69/2018 </w:t>
      </w:r>
      <w:proofErr w:type="spellStart"/>
      <w:r w:rsidRPr="007B5878">
        <w:rPr>
          <w:rFonts w:ascii="Tahoma" w:hAnsi="Tahoma" w:cs="Tahoma"/>
        </w:rPr>
        <w:t>Z.z</w:t>
      </w:r>
      <w:proofErr w:type="spellEnd"/>
      <w:r w:rsidRPr="007B5878">
        <w:rPr>
          <w:rFonts w:ascii="Tahoma" w:hAnsi="Tahoma" w:cs="Tahoma"/>
        </w:rPr>
        <w:t>. o kybernetickej bezpečnosti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</w:t>
      </w:r>
      <w:r w:rsidRPr="007B5878">
        <w:rPr>
          <w:rFonts w:ascii="Tahoma" w:hAnsi="Tahoma" w:cs="Tahoma"/>
        </w:rPr>
        <w:tab/>
        <w:t>STN ISO/IEC 27001:2014,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</w:t>
      </w:r>
      <w:r w:rsidRPr="007B5878">
        <w:rPr>
          <w:rFonts w:ascii="Tahoma" w:hAnsi="Tahoma" w:cs="Tahoma"/>
        </w:rPr>
        <w:tab/>
        <w:t>STN ISO/IEC 27002:2014,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</w:t>
      </w:r>
      <w:r w:rsidRPr="007B5878">
        <w:rPr>
          <w:rFonts w:ascii="Tahoma" w:hAnsi="Tahoma" w:cs="Tahoma"/>
        </w:rPr>
        <w:tab/>
        <w:t>STN ISO/IEC 27005:2012,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Hlavný dokument Analýzy rizík obsahuje manažérske zhrnutie, metodiku analýzy rizík, opis analyzovanej časti, katalóg aktív a hlavné opatrenia, ktoré sú identifikované analýzou rizík.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Analýza rizík je základnou súčasťou Bezpečnostného projektu a pozostáva z viacerých navzájom prepojených častí, a to: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1.</w:t>
      </w:r>
      <w:r w:rsidRPr="007B5878">
        <w:rPr>
          <w:rFonts w:ascii="Tahoma" w:hAnsi="Tahoma" w:cs="Tahoma"/>
        </w:rPr>
        <w:tab/>
        <w:t>Klasifikácia aktív v projekte,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2.</w:t>
      </w:r>
      <w:r w:rsidRPr="007B5878">
        <w:rPr>
          <w:rFonts w:ascii="Tahoma" w:hAnsi="Tahoma" w:cs="Tahoma"/>
        </w:rPr>
        <w:tab/>
        <w:t>Zoznamu analyzovaných aktív a pôsobiacich hrozieb na tieto aktíva,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3.</w:t>
      </w:r>
      <w:r w:rsidRPr="007B5878">
        <w:rPr>
          <w:rFonts w:ascii="Tahoma" w:hAnsi="Tahoma" w:cs="Tahoma"/>
        </w:rPr>
        <w:tab/>
        <w:t>Vyhodnotenie rizík,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4.</w:t>
      </w:r>
      <w:r w:rsidRPr="007B5878">
        <w:rPr>
          <w:rFonts w:ascii="Tahoma" w:hAnsi="Tahoma" w:cs="Tahoma"/>
        </w:rPr>
        <w:tab/>
        <w:t>Návrhu bezpečnostných opatrení,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5.</w:t>
      </w:r>
      <w:r w:rsidRPr="007B5878">
        <w:rPr>
          <w:rFonts w:ascii="Tahoma" w:hAnsi="Tahoma" w:cs="Tahoma"/>
        </w:rPr>
        <w:tab/>
        <w:t>Zhrnutia výsledkov analýzy rizík.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Výstupom bude vykonaná Analýza rizík podľa jednotnej smernice (metodiky) pre dátovo-procesné aktíva (biznis agendy) a IKT zdroje, ktoré tieto agendy podporujú.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Na Analýzu rizík sa budú podieľať aj interní zamestnanci, cieľom projektu je aj transfer know-how, aby si bola organizácia schopná tieto analýzy opakovane realizovať aj vlastnými silami.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Návrh katalógu rizík a spôsobov ich riadenia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Návrh katalógu rizík a spôsobu ich udržiavania, aktualizácie a riadenia (</w:t>
      </w:r>
      <w:proofErr w:type="spellStart"/>
      <w:r w:rsidRPr="007B5878">
        <w:rPr>
          <w:rFonts w:ascii="Tahoma" w:hAnsi="Tahoma" w:cs="Tahoma"/>
        </w:rPr>
        <w:t>mitigácie</w:t>
      </w:r>
      <w:proofErr w:type="spellEnd"/>
      <w:r w:rsidRPr="007B5878">
        <w:rPr>
          <w:rFonts w:ascii="Tahoma" w:hAnsi="Tahoma" w:cs="Tahoma"/>
        </w:rPr>
        <w:t>), ktorý bude obsahovať identifikované riziká z analýzy rizík a spôsoby (možnosti) ich riadenia (</w:t>
      </w:r>
      <w:proofErr w:type="spellStart"/>
      <w:r w:rsidRPr="007B5878">
        <w:rPr>
          <w:rFonts w:ascii="Tahoma" w:hAnsi="Tahoma" w:cs="Tahoma"/>
        </w:rPr>
        <w:t>mitigácie</w:t>
      </w:r>
      <w:proofErr w:type="spellEnd"/>
      <w:r w:rsidRPr="007B5878">
        <w:rPr>
          <w:rFonts w:ascii="Tahoma" w:hAnsi="Tahoma" w:cs="Tahoma"/>
        </w:rPr>
        <w:t xml:space="preserve">), vrátane zavedenia formalizovaného a opakovaného procesu riadenia rizík a ich schválenia </w:t>
      </w:r>
      <w:r w:rsidRPr="007B5878">
        <w:rPr>
          <w:rFonts w:ascii="Tahoma" w:hAnsi="Tahoma" w:cs="Tahoma"/>
        </w:rPr>
        <w:lastRenderedPageBreak/>
        <w:t>vedením Úrad pre reguláciu hazardných hier alebo Bezpečnostným výborom ak tento bude zriadený.</w:t>
      </w:r>
    </w:p>
    <w:p w:rsidR="00722C08" w:rsidRPr="007B5878" w:rsidRDefault="00722C08" w:rsidP="00722C08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Klientsky modul evidencie informačných aktív, ich klasifikácie a kategorizácie a riadenia rizík a incidentov.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Tento modul reprezentuje nástroja na evidenciu procesov pre riadenie kybernetickej bezpečnosti, rizík,  zraniteľností a hrozieb. Nastroj je požadované implementovať v prostredí zadávateľa. Detailné požiadavky na nástroj sú popísane v ďalších častiach tohto dokumentu. 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Plán ľudských zdrojov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Výstupom aktivity bude časový plán implementácie, alokácia zdrojov. Na aktivite sa budú podieľať aj interní zamestnanci, cieľom projektu je aj transfer know-how</w:t>
      </w:r>
    </w:p>
    <w:p w:rsidR="00722C08" w:rsidRPr="007B5878" w:rsidRDefault="00722C08" w:rsidP="00722C08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Nastavenie politík v prostredí úradu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Výstupom bude  nasledovné: 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• Vytvorenie a zobrazenie Mapy topológie v reálnom čase v rámci hybridného prostredia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• Tvorba a správa zásad segmentácie</w:t>
      </w:r>
    </w:p>
    <w:p w:rsidR="00722C08" w:rsidRPr="007B5878" w:rsidRDefault="00722C08" w:rsidP="00722C08">
      <w:p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• Funkcia optimalizácie a čistenia politík</w:t>
      </w:r>
    </w:p>
    <w:p w:rsidR="00722C08" w:rsidRPr="007B5878" w:rsidRDefault="00722C08" w:rsidP="00722C08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Vypracovať analýzu funkčnej závislosti všetkých aktív na základnú službu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Požadované je analyzovať stupeň závažnosti ohrozenia ZS vplyvom výpadku Informačného Aktíva asociovaného so základnou službou</w:t>
      </w:r>
    </w:p>
    <w:p w:rsidR="00722C08" w:rsidRPr="007B5878" w:rsidRDefault="00722C08" w:rsidP="00722C08">
      <w:pPr>
        <w:pStyle w:val="Odsekzoznamu"/>
        <w:ind w:left="50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Definovať inštalačný štandard pre informačné aktíva v sieťach a vyžadovať ich aplikovanie pri inštalácií v rámci životného cyklu informačného aktíva.</w:t>
      </w:r>
    </w:p>
    <w:p w:rsidR="00722C08" w:rsidRPr="007B5878" w:rsidRDefault="00722C08" w:rsidP="00722C08">
      <w:pPr>
        <w:pStyle w:val="Odsekzoznamu"/>
        <w:ind w:left="50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Určiť úlohy, povinnosti a zodpovednosti za riadenie kybernetickej bezpečnosti, riadenie aktív, riadenie rizík kybernetickej bezpečnosti a aktualizáciu bezpečnostnej dokumentácie.</w:t>
      </w:r>
    </w:p>
    <w:p w:rsidR="00722C08" w:rsidRPr="007B5878" w:rsidRDefault="00722C08" w:rsidP="00722C08">
      <w:pPr>
        <w:pStyle w:val="Odsekzoznamu"/>
        <w:ind w:left="50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Rozšíriť  zoznam všetkých informačných aktív v spoločnosti a zaviesť jeho centrálne riadenie napr. oddelením informatiky.  Obsahom bude priradenia biznis vlastníka a klasifikácii.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Zaviesť metodiku riadenia celého životného cyklu všetkých aktív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lastRenderedPageBreak/>
        <w:t>Požiadavka je definovanie Metodika životného cyklu informačného aktíva. Táto metodika bude neskôr zadefinovaná v nástroji „Klientsky modul evidencie informačných aktív, ich klasifikácie a kategorizácie a riadenia rizík a incidentov.“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Typy opatrení v kontexte životného cyklu informačného aktíva: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 existujúce opatrenia (z angl. </w:t>
      </w:r>
      <w:proofErr w:type="spellStart"/>
      <w:r w:rsidRPr="007B5878">
        <w:rPr>
          <w:rFonts w:ascii="Tahoma" w:hAnsi="Tahoma" w:cs="Tahoma"/>
        </w:rPr>
        <w:t>Existing</w:t>
      </w:r>
      <w:proofErr w:type="spellEnd"/>
      <w:r w:rsidRPr="007B5878">
        <w:rPr>
          <w:rFonts w:ascii="Tahoma" w:hAnsi="Tahoma" w:cs="Tahoma"/>
        </w:rPr>
        <w:t xml:space="preserve"> </w:t>
      </w:r>
      <w:proofErr w:type="spellStart"/>
      <w:r w:rsidRPr="007B5878">
        <w:rPr>
          <w:rFonts w:ascii="Tahoma" w:hAnsi="Tahoma" w:cs="Tahoma"/>
        </w:rPr>
        <w:t>controls</w:t>
      </w:r>
      <w:proofErr w:type="spellEnd"/>
      <w:r w:rsidRPr="007B5878">
        <w:rPr>
          <w:rFonts w:ascii="Tahoma" w:hAnsi="Tahoma" w:cs="Tahoma"/>
        </w:rPr>
        <w:t>) – opatrenia inherentne zabudované už v čase návrhu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resp. implementácie systému,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 rozšírené (tiež „vylepšené“) opatrenia (z angl. </w:t>
      </w:r>
      <w:proofErr w:type="spellStart"/>
      <w:r w:rsidRPr="007B5878">
        <w:rPr>
          <w:rFonts w:ascii="Tahoma" w:hAnsi="Tahoma" w:cs="Tahoma"/>
        </w:rPr>
        <w:t>Enhanced</w:t>
      </w:r>
      <w:proofErr w:type="spellEnd"/>
      <w:r w:rsidRPr="007B5878">
        <w:rPr>
          <w:rFonts w:ascii="Tahoma" w:hAnsi="Tahoma" w:cs="Tahoma"/>
        </w:rPr>
        <w:t xml:space="preserve"> </w:t>
      </w:r>
      <w:proofErr w:type="spellStart"/>
      <w:r w:rsidRPr="007B5878">
        <w:rPr>
          <w:rFonts w:ascii="Tahoma" w:hAnsi="Tahoma" w:cs="Tahoma"/>
        </w:rPr>
        <w:t>controls</w:t>
      </w:r>
      <w:proofErr w:type="spellEnd"/>
      <w:r w:rsidRPr="007B5878">
        <w:rPr>
          <w:rFonts w:ascii="Tahoma" w:hAnsi="Tahoma" w:cs="Tahoma"/>
        </w:rPr>
        <w:t>) – aplikované na implementovaný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systém s cieľom ošetrenia rizika identifikovaného už v rámci bežnej prevádzky systému; typicky ich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navrhuje manažér kybernetickej a informačnej bezpečnosti,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 dodatočné opatrenia (z angl. </w:t>
      </w:r>
      <w:proofErr w:type="spellStart"/>
      <w:r w:rsidRPr="007B5878">
        <w:rPr>
          <w:rFonts w:ascii="Tahoma" w:hAnsi="Tahoma" w:cs="Tahoma"/>
        </w:rPr>
        <w:t>Additional</w:t>
      </w:r>
      <w:proofErr w:type="spellEnd"/>
      <w:r w:rsidRPr="007B5878">
        <w:rPr>
          <w:rFonts w:ascii="Tahoma" w:hAnsi="Tahoma" w:cs="Tahoma"/>
        </w:rPr>
        <w:t xml:space="preserve">, </w:t>
      </w:r>
      <w:proofErr w:type="spellStart"/>
      <w:r w:rsidRPr="007B5878">
        <w:rPr>
          <w:rFonts w:ascii="Tahoma" w:hAnsi="Tahoma" w:cs="Tahoma"/>
        </w:rPr>
        <w:t>Complementary</w:t>
      </w:r>
      <w:proofErr w:type="spellEnd"/>
      <w:r w:rsidRPr="007B5878">
        <w:rPr>
          <w:rFonts w:ascii="Tahoma" w:hAnsi="Tahoma" w:cs="Tahoma"/>
        </w:rPr>
        <w:t xml:space="preserve"> </w:t>
      </w:r>
      <w:proofErr w:type="spellStart"/>
      <w:r w:rsidRPr="007B5878">
        <w:rPr>
          <w:rFonts w:ascii="Tahoma" w:hAnsi="Tahoma" w:cs="Tahoma"/>
        </w:rPr>
        <w:t>controls</w:t>
      </w:r>
      <w:proofErr w:type="spellEnd"/>
      <w:r w:rsidRPr="007B5878">
        <w:rPr>
          <w:rFonts w:ascii="Tahoma" w:hAnsi="Tahoma" w:cs="Tahoma"/>
        </w:rPr>
        <w:t>) - odporúča ich typicky audítor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 správe auditu s cieľom ošetrenia rizika identifikovaného v rámci výkonu auditu kybernetickej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bezpečnosti.</w:t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Zaviesť procesy na výkon riadenia aktív a rizík a tak isto implementácia nástroja na riadenie rizík a politík v organizácií URHH.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Postupy aplikovania metodiky životného cyklu aktíva. Tieto budú definované a spravované v rámci „Klientskeho modulu evidencie informačných aktív, ich klasifikácie a kategorizácie a riadenia rizík a incidentov.“</w:t>
      </w:r>
    </w:p>
    <w:p w:rsidR="00722C08" w:rsidRPr="007B5878" w:rsidRDefault="00722C08" w:rsidP="00722C08">
      <w:pPr>
        <w:pStyle w:val="Odsekzoznamu"/>
        <w:ind w:left="1440"/>
        <w:jc w:val="both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Vytvoriť a formalizovať postupy pri zaradení osoby do bezpečnostných rolí, presunu práv, povinností a zodpovedností vo vzťahu ku kybernetickej bezpečnosti na inú osobu a nastaviť úlohy, povinnosti a zodpovednosti pri týchto postupoch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 rámci tejto požiadavky je nutné vypracovať RACI matice pre kľúčové role informačnej a kybernetickej bezpečnosti, zohľadniť závislosti (Oddelenie exekutívy, výkonu a kontroly), zastupiteľnosť a prenositeľnosť rolí.</w:t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Vypracovať plán rozvoja bezpečnostného povedomia a pravidelného vzdelávania zamestnancov, administrátorov, osôb zastávajúcich niektorú z bezpečnostných rolí a dodávateľov a tento plán vykonávať v praxi vo forme úvodného školenia, preškolenia pri zmene pracovnej pozície </w:t>
      </w:r>
      <w:r w:rsidRPr="007B5878">
        <w:rPr>
          <w:rFonts w:ascii="Tahoma" w:hAnsi="Tahoma" w:cs="Tahoma"/>
          <w:b/>
          <w:bCs/>
          <w:sz w:val="28"/>
          <w:szCs w:val="28"/>
        </w:rPr>
        <w:lastRenderedPageBreak/>
        <w:t>alebo pravidelného ročného školenia formou e-learningu a o absolvovaní týchto školení uchovávať záznam.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 rámci tejto požiadavky je nutné navrhnutie systémového plánu vzdelávania formou vstupný skolení ako aj pravidelných školení s dôrazom na cieľovú skupinu. Navrhnúť spôsob vyhodnocovania procesu rozvoja budovania bezpečnostného povedomia zamestnancov a tretích strán</w:t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Vytvoriť a formalizovať pravidlá a postupy na riešenie prípadov porušenia bezpečnostnej politiky zo strany používateľov, administrátorov, osôb zastávajúcich niektorú z bezpečnostných rolí a dodávateľov</w:t>
      </w:r>
    </w:p>
    <w:p w:rsidR="00722C08" w:rsidRPr="007B5878" w:rsidRDefault="00722C08" w:rsidP="00722C08">
      <w:p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</w:rPr>
        <w:t>V rámci tejto požiadavky je nutné zadefinovať disciplinárny proces nad rámec pracovného poriadku pre prípady porušenia kybernetickej bezpečnosti</w:t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Vytvoriť a formalizovať postupy pri skončení pracovnoprávneho vzťahu alebo iného obdobného pracovného alebo zmluvného vzťahu s používateľom, administrátorom, s osobou zastávajúcou niektorú z bezpečnostných rolí umožňujúcich presun práv, povinností a zodpovedností na inú novú osobu.</w:t>
      </w:r>
    </w:p>
    <w:p w:rsidR="00722C08" w:rsidRPr="007B5878" w:rsidRDefault="00722C08" w:rsidP="00722C08">
      <w:p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</w:rPr>
        <w:t>V rámci tejto požiadavky je nutné vytvorenie a zavedenie procesu  skončenia pracovnoprávneho vzťahu alebo iného obdobného pracovného alebo zmluvného vzťahu s používateľom, administrátorom, s osobou zastávajúcou niektorú z bezpečnostných rolí</w:t>
      </w:r>
    </w:p>
    <w:p w:rsidR="00722C08" w:rsidRPr="007B5878" w:rsidRDefault="00722C08" w:rsidP="00722C08">
      <w:pPr>
        <w:pStyle w:val="Odsekzoznamu"/>
        <w:ind w:left="1440"/>
        <w:rPr>
          <w:rFonts w:ascii="Tahoma" w:hAnsi="Tahoma" w:cs="Tahoma"/>
          <w:b/>
          <w:bCs/>
          <w:sz w:val="28"/>
          <w:szCs w:val="28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Vytvoriť a formalizovať postupy na obmedzenie alebo odňatie prístupových oprávnení a privilégií v prípade porušenia bezpečnostných politík vybranými pozíciami v spoločnosti.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V rámci tejto požiadavky je nutné vytvorenie a zavedenie procesu  na obmedzenie alebo odňatie prístupových oprávnení a privilégií v prípade porušenia bezpečnostných politík vybranými pozíciami v spoločnosti.</w:t>
      </w: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Politika BCM vrátane stratégie obnovy a návrh pred-vyplnenej šablóny pre BCP a DRP</w:t>
      </w:r>
    </w:p>
    <w:p w:rsidR="00722C08" w:rsidRPr="00490E69" w:rsidRDefault="00722C08" w:rsidP="00722C08">
      <w:pPr>
        <w:rPr>
          <w:rFonts w:ascii="Tahoma" w:hAnsi="Tahoma" w:cs="Tahoma"/>
        </w:rPr>
      </w:pPr>
      <w:r w:rsidRPr="00490E69">
        <w:rPr>
          <w:rFonts w:ascii="Tahoma" w:hAnsi="Tahoma" w:cs="Tahoma"/>
        </w:rPr>
        <w:t>Smernica pre výkon AR/BIA, vrátane definovania základných parametrov (hrozby, dopadové kritéria, spôsob identifikácie a klasifikácie rizík, spôsob definovania RTO a RPO a pod.).</w:t>
      </w:r>
    </w:p>
    <w:p w:rsidR="00722C08" w:rsidRPr="00490E69" w:rsidRDefault="00722C08" w:rsidP="00722C08">
      <w:pPr>
        <w:rPr>
          <w:rFonts w:ascii="Tahoma" w:hAnsi="Tahoma" w:cs="Tahoma"/>
        </w:rPr>
      </w:pPr>
      <w:r w:rsidRPr="00490E69">
        <w:rPr>
          <w:rFonts w:ascii="Tahoma" w:hAnsi="Tahoma" w:cs="Tahoma"/>
        </w:rPr>
        <w:t>Vypracovanie BIA  na základnú službu a jej komponenty.</w:t>
      </w:r>
    </w:p>
    <w:p w:rsidR="00722C08" w:rsidRPr="00490E69" w:rsidRDefault="00722C08" w:rsidP="00722C08">
      <w:pPr>
        <w:rPr>
          <w:rFonts w:ascii="Tahoma" w:hAnsi="Tahoma" w:cs="Tahoma"/>
        </w:rPr>
      </w:pPr>
      <w:r w:rsidRPr="00490E69">
        <w:rPr>
          <w:rFonts w:ascii="Tahoma" w:hAnsi="Tahoma" w:cs="Tahoma"/>
        </w:rPr>
        <w:t>Definovanie atribútov RTO, RPO a transponovať do požiadaviek BCP a politiky zálohovania</w:t>
      </w:r>
    </w:p>
    <w:p w:rsidR="00722C08" w:rsidRPr="00490E69" w:rsidRDefault="00722C08" w:rsidP="00722C08">
      <w:pPr>
        <w:rPr>
          <w:rFonts w:ascii="Tahoma" w:hAnsi="Tahoma" w:cs="Tahoma"/>
        </w:rPr>
      </w:pPr>
      <w:proofErr w:type="spellStart"/>
      <w:r w:rsidRPr="00490E69">
        <w:rPr>
          <w:rFonts w:ascii="Tahoma" w:hAnsi="Tahoma" w:cs="Tahoma"/>
        </w:rPr>
        <w:t>Personalizovať</w:t>
      </w:r>
      <w:proofErr w:type="spellEnd"/>
      <w:r w:rsidRPr="00490E69">
        <w:rPr>
          <w:rFonts w:ascii="Tahoma" w:hAnsi="Tahoma" w:cs="Tahoma"/>
        </w:rPr>
        <w:t xml:space="preserve"> role v BCP</w:t>
      </w:r>
    </w:p>
    <w:p w:rsidR="00722C08" w:rsidRPr="00490E69" w:rsidRDefault="00722C08" w:rsidP="00722C08">
      <w:pPr>
        <w:rPr>
          <w:rFonts w:ascii="Tahoma" w:hAnsi="Tahoma" w:cs="Tahoma"/>
        </w:rPr>
      </w:pPr>
      <w:r w:rsidRPr="00490E69">
        <w:rPr>
          <w:rFonts w:ascii="Tahoma" w:hAnsi="Tahoma" w:cs="Tahoma"/>
        </w:rPr>
        <w:t>Definovať a riadiť požiadavky na dodávateľov vyplývajúcich z BIA.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1"/>
          <w:numId w:val="26"/>
        </w:numPr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Politika BCM vrátane stratégie obnovy a návrh pred-vyplnenej šablóny pre BCP a DRP</w:t>
      </w: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>Zav</w:t>
      </w:r>
      <w:bookmarkEnd w:id="1"/>
      <w:r w:rsidRPr="007B5878">
        <w:rPr>
          <w:rFonts w:ascii="Tahoma" w:hAnsi="Tahoma" w:cs="Tahoma"/>
        </w:rPr>
        <w:t xml:space="preserve">edenie BCMS musí vychádzať z medzinárodných štandardov a v súlade s požiadavkami platnej legislatívy predovšetkým </w:t>
      </w:r>
      <w:proofErr w:type="spellStart"/>
      <w:r w:rsidRPr="007B5878">
        <w:rPr>
          <w:rFonts w:ascii="Tahoma" w:hAnsi="Tahoma" w:cs="Tahoma"/>
        </w:rPr>
        <w:t>ZoKB</w:t>
      </w:r>
      <w:proofErr w:type="spellEnd"/>
      <w:r w:rsidRPr="007B5878">
        <w:rPr>
          <w:rFonts w:ascii="Tahoma" w:hAnsi="Tahoma" w:cs="Tahoma"/>
        </w:rPr>
        <w:t xml:space="preserve"> a zákona o ITVS. </w:t>
      </w: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Kontext  organizácie                                       </w:t>
      </w: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 rámci tejto kategórie definujeme nasledovné požiadavky a výstupy. </w:t>
      </w:r>
    </w:p>
    <w:p w:rsidR="00722C08" w:rsidRPr="007B5878" w:rsidRDefault="00722C08" w:rsidP="00722C08">
      <w:pPr>
        <w:pStyle w:val="Odsekzoznamu"/>
        <w:numPr>
          <w:ilvl w:val="0"/>
          <w:numId w:val="3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Popis organizácie a jej kontextu z pohľadu BCMS - </w:t>
      </w:r>
      <w:r w:rsidRPr="007B5878">
        <w:rPr>
          <w:rFonts w:ascii="Tahoma" w:hAnsi="Tahoma" w:cs="Tahoma"/>
        </w:rPr>
        <w:t>Opis spoločnosti a identifikácia interných a externých závislostí z pohľadu BCMS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3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Zadefinovanie potrieb a očakávaní zainteresovaných strán - Identifikácia a spôsob identifikácie  zainteresovaných strán spoločnosti a identifikácia ich požiadaviek závislostí z pohľadu BCMS.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3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Právne požiadavky - </w:t>
      </w:r>
      <w:r w:rsidRPr="007B5878">
        <w:rPr>
          <w:rFonts w:ascii="Tahoma" w:hAnsi="Tahoma" w:cs="Tahoma"/>
        </w:rPr>
        <w:t>Identifikácia zákonných a regulačných požiadaviek a definovanie spôsobu identifikácie právnych požiadaviek, zabezpečenie udržiavania a dokumentovania závislostí z pohľadu BCMS.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3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Určenie rozsahu systému manažérstva kontinuity podnikania - </w:t>
      </w:r>
      <w:r w:rsidRPr="007B5878">
        <w:rPr>
          <w:rFonts w:ascii="Tahoma" w:hAnsi="Tahoma" w:cs="Tahoma"/>
        </w:rPr>
        <w:t>Stanovenie hraníc aplikovateľnosti BCMS v spoločnosti, geografická, technologická, organizačná.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3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Rozsah pôsobnosti systému manažérstva kontinuity podnikania - Určenie častí, ktoré budú zaradené do BCMS. Výber produktov a služieb zahrnutých do procesu BCMS</w:t>
      </w:r>
    </w:p>
    <w:p w:rsidR="00722C08" w:rsidRPr="007B5878" w:rsidRDefault="00722C08" w:rsidP="00722C08">
      <w:pPr>
        <w:ind w:left="360" w:firstLine="348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Definovanie a spôsob dokumentovania výnimiek z BCMS, ktoré však nesmú ovplyvniť schopnosť organizácie zaistiť kontinuitu podnikania v priamej väzbe na analýzu obchodného dopadu.</w:t>
      </w: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Riadenie </w:t>
      </w: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4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Ciele BCMS - Definovanie SMART cieľov BCMS a definovanie spôsobu naplnenia cieľov. Definovanie merateľných kritérií (KPI)  </w:t>
      </w:r>
    </w:p>
    <w:p w:rsidR="00722C08" w:rsidRPr="007B5878" w:rsidRDefault="00722C08" w:rsidP="00722C08">
      <w:pPr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4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Stanovenie politiky kontinuity podnikania - Stanoviť Politiku kontinuity podnikania, ktorá musí obsahovať rámec pre stanovenie cieľov kontinuity podnikania, musí obsahovať záväzok plniť príslušné požiadavky a záväzok k neustálemu zlepšovaniu BCMS. Zaistenie integrácie požiadaviek BCMS do podnikových procesov. Definovanie potrebných zdrojov vrátane definovania kľúčových rolí.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4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Publikovanie  politiky kontinuity podnikania - Politika kontinuity podnikania musí byť dostupná ako dokumentovaná informácia a komunikovaná vo vnútri organizácie. Musí byť k dispozícii zainteresovaným stranám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4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lastRenderedPageBreak/>
        <w:t>Role, zodpovednosti a právomoci - Definovať role a zodpovednosti a právomoci formou RACI matice. Definovanie zodpovednosti a spôsobu  za predkladanie správ o BCMS vedeniu spoločnosti.</w:t>
      </w:r>
    </w:p>
    <w:p w:rsidR="00722C08" w:rsidRPr="007B5878" w:rsidRDefault="00722C08" w:rsidP="00722C08">
      <w:pPr>
        <w:ind w:left="360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Plánovanie </w:t>
      </w: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Opatrenia zamerané na riziká a príležitosti - Zaviesť proces, ako organizácia plánuje opatrenia pre riešenia rizík a príležitostí pri procese plánovania BCMS. Definovanie Opatrení, ktoré zabránia ohrozeniu BCMS. Spôsob Integrácie a implementácie opatrení do procesov BCMS. Zavedenie hodnotia účinnosti opatrení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Ciele kontinuity podnikania a plány na ich dosiahnutie - Definovanie Cieľov kontinuity podnikania ktoré musia byť: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Konzistentné s politikou kontinuity podnikania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Byť merateľné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Zohľadniť aplikovateľné požiadavky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Byť monitorované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Byť komunikované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Byť aktualizované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Určenie spôsobu dosiahnutia cieľov kontinuity podnikania - Jednotlivé ciele BCMS musí určiť: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Čo sa bude robiť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Aké zdroje budú použité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Kto bude zodpovedný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Kedy to bude dokončené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Ako budú hodnotené výsledky</w:t>
      </w: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Plánovanie zmien systému manažérstva kontinuity podnikania - Definovanie spôsobu zmien s dôrazom na 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Účel zmien a ich dôsledky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Integritu BCMS</w:t>
      </w:r>
    </w:p>
    <w:p w:rsidR="00722C08" w:rsidRPr="007B5878" w:rsidRDefault="00722C08" w:rsidP="00722C08">
      <w:pPr>
        <w:pStyle w:val="Odsekzoznamu"/>
        <w:numPr>
          <w:ilvl w:val="1"/>
          <w:numId w:val="5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Dostupnosť zdrojov k zmene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Podpora 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Zdroje - Definovanie zdrojov  potrebných na vytvorenie, implementáciu, udržiavanie a neustále zlepšovanie BCMS</w:t>
      </w: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Kompetencie a povedomie - Definovanie kompetencie osôb, ktoré sú zahrnuté do BCMS.</w:t>
      </w: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Vyškolenie osôb, ktoré sú zahrnuté do BCMS.</w:t>
      </w: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Dokumentované informácie – minimálny rozsah - Vypracovanie dokumentácie minimálne v rozsahu požiadaviek </w:t>
      </w:r>
      <w:proofErr w:type="spellStart"/>
      <w:r w:rsidRPr="007B5878">
        <w:rPr>
          <w:rFonts w:ascii="Tahoma" w:hAnsi="Tahoma" w:cs="Tahoma"/>
          <w:bCs/>
        </w:rPr>
        <w:t>kriteriálnej</w:t>
      </w:r>
      <w:proofErr w:type="spellEnd"/>
      <w:r w:rsidRPr="007B5878">
        <w:rPr>
          <w:rFonts w:ascii="Tahoma" w:hAnsi="Tahoma" w:cs="Tahoma"/>
          <w:bCs/>
        </w:rPr>
        <w:t xml:space="preserve"> normy: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Zoznam zákonných, regulačných a iných požiadaviek (bod 4.2.2) - obsahuje zoznam všetkého, čo musíte splniť.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Rozsah BCMS a vysvetlenie výnimiek (článok 4.3) - definuje, kde bude váš BCMS implementovaný.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lastRenderedPageBreak/>
        <w:t>Politika kontinuity podnikania (článok 5.2) - definuje hlavné zodpovednosti a zámer vedenia.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Ciele kontinuity činnosti (článok 6.2) - definuje merateľné ciele, ktoré sa majú dosiahnuť pomocou kontinuity činnosti.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Kompetencie personálu (článok 7.2) - definuje potrebné znalosti a zručnosti.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Plány a postupy kontinuity činnosti (doložka 8.4) - zahŕňa plány a postupy pre reakcie, komunikáciu, obnovu (vrátane plánov obnovy po havárii), činnosti obnovy a návratu.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Dokumentovaná komunikácia so zainteresovanými stranami (článok 8.4.3.1) - môžu to byť e -maily, ale aj oficiálna komunikácia zo zdrojov, ako sú vládne agentúry a ďalšie.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Záznamy dôležitých informácií o narušení, prijatých opatreniach a prijatých rozhodnutiach (článok 8.4.3.1) - tieto záznamy sa spravidla robia prostredníctvom zápisnice alebo vyplnením kontrolných zoznamov vykonaných činností.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Údaje a výsledky monitorovania a merania (bod 9.1.1) - toto je hodnotenie, či váš BCMS splnil ciele.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Program vnútorného auditu (doložka 9.2)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Výsledky interného auditu (článok 9.2) - spravidla ide o správu o internom audite.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Výsledky preskúmania manažmentom (doložka 9.3) - spravidla má formu zápisnice alebo zdokumentovaných rozhodnutí.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Povaha nezhôd a prijaté opatrenia (článok 10.1) - toto je opis nezhôd a ich príčiny.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Výsledky nápravných opatrení (článok 10.1) - toto je opis toho, čo bolo urobené s cieľom odstrániť príčinu nezhody.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Prevádzka </w:t>
      </w: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Analýza dopadu na podnikanie (BIA) a posudzovanie rizík - Vypracovanie metodiky pre analýzu dopadu (BIA) na podnikanie a posudzovanie rizík.</w:t>
      </w:r>
    </w:p>
    <w:p w:rsidR="00722C08" w:rsidRPr="007B5878" w:rsidRDefault="00722C08" w:rsidP="00722C08">
      <w:pPr>
        <w:ind w:firstLine="708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Definovanie spôsobu a periodicity preskúmavania analýzy dopadu</w:t>
      </w:r>
    </w:p>
    <w:p w:rsidR="00722C08" w:rsidRPr="007B5878" w:rsidRDefault="00722C08" w:rsidP="00722C08">
      <w:pPr>
        <w:ind w:left="372" w:firstLine="336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Analýza dopadov na podnikanie musí: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Definovať typy dopadu a kritériá relevantné pre kontext organizácie.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Identifikovať činnosti, ktoré podporujú poskytovanie produktov a služieb.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Používať typy dopadov a kritéria pre posudzovanie v čase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Identifikovať časový rámec (MTPD maximálna prípustná doba narušenia), v ktorom by sa dopady neobnovujúcich činností stali neprijateľné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Stanoviť prioritný časový rámec pre obnovenie narušených činností na minimálnu kapacitu „RTO cieľová doba obnovy“.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Použiť analýzu na určenie prioritných činností.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Rozhodnúť ktoré zdroje sú potrebné na podporu prioritných činností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Určiť závislosti, vrátanie partnerov a dodávateľov a nezávislých prioritných činností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Proces posudzovania rizík - Definovanie spôsobu organizácia vykonávať posudzovania rizík</w:t>
      </w:r>
    </w:p>
    <w:p w:rsidR="00722C08" w:rsidRPr="007B5878" w:rsidRDefault="00722C08" w:rsidP="00722C08">
      <w:pPr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lastRenderedPageBreak/>
        <w:t>Stratégie a riešenie kontinuity podnikania - Identifikovať a vybrať stratégie pre zaistenie kontinuity podnikania, ktoré určujú možnosti PRED, POČAS a PO narušení.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5.4 Identifikácia stratégií a riešení - Definovanie Stratégia s dôrazom na požiadavky: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Zabezpečené základné požiadavky na obnovu prioritných činností v stanovenom čase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Ochrana prioritných činnosti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Znižovať pravdepodobnosť narušenia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Skracovať dobu narušenia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Obmedziť dopad narušenia na produkty a služby organizácie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Zaistiť dostupnosť primeraných zdrojov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Štruktúra reakcie - Nastavenie štruktúry tímov zodpovedných za reakciu na narušenie so schopnosťou 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Posúdiť povahu a rozsah narušenia a jeho potenciálny dopad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Stanoviť hranicu dopadu, ktorá odôvodní reakcie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Aktivovať vhodnú reakciu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Naplánovať opatrenia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Stanoviť priority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Sledovať účinky narušenia a reakcie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Aktivovať riešenia pre kontinuitu podnikania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Komunikovať s relevantnými zainteresovanými stranami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Pre každý tím musia byť určení pracovníci a ich náhradníci s definovanou zodpovednosťou – definované role.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Musia byť definované zdokumentované postupy vrátane činností a postupov. 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Varovanie a komunikácia - Nastaviť a zdokumentovať  postupy pre: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Internú a externú komunikáciu so zainteresovanými stranami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Prijímanie, dokumentovanie a reagovanie na dokumentáciu od zainteresovaných strán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Zaistenie dostupnosti komunikačných prostriedkov behom varovania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Uľahčenie štruktúrovanej komunikácie s núdzovými pohotovostnými službami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Poskytnutie podrobností o reakcii organizácie v médiách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Zaznamenávanie detailov narušenia, prijatých opatrení a účinných rozhodnutí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Plán kontinuity podnikania - Vypracovať metodiku pre postupy kontinuity podnikania, ktoré pomáhajú tímom reagovať na narušenie a pomáhajú organizácii s reakciou a zotavením v rozsahu: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Podrobnosti  o opatreniach, ktoré je nutné urobiť tak, aby prioritné činnosti pokračovali alebo boli obnovené vo vopred stanovených časových intervaloch a sledovali dopad narušenia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Odkaz na vopred definovanú prahovú hodnotu a postup pre aktiváciu reakcie.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Postup umožňujúci dodávku produktov a služieb o dohodnutej kapacite.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Podrobnosti o riadení bezprostredných následkov narušenia a uložení povinností s ohľadom na prospech jednotlivcov, prevenciu ďalšej straty. 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lastRenderedPageBreak/>
        <w:t>Každý plán musí zahrňovať: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Účel, rozsah a ciele,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Role a zodpovednosti tímu,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Účel, rozsah a ciele,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Role a zodpovednosti tímu,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Opatrenia na implementovanie riešení,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Podporné informácie pre aktiváciu opatrení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Interné a externé vzájomné súvislosti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Požiadavky na zdroje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Požiadavky na podávanie správ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Proces odstúpenia.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Obnova - Zdokumentovanie postupu pre obnovu a navrátenie podnikateľských aktivít z dočasných opatrení prijatých v priebehu  a po narušení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pStyle w:val="Odsekzoznamu"/>
        <w:numPr>
          <w:ilvl w:val="0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Program nácviku - Implementovať program nácviku a testovania pre overenie efektívnosti stratégií a riešení pre zachovanie kontinuity podnikania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Testy musia byť :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sú v súlade s cieľmi kontinuity podnikania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sú založené na vhodných scenároch a dobre naplánované a definované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podporujú spoluprácu a kompetencie daných rolí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v čase overujú stratégie a riešenia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obsahujú správu z nácviku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Správa obsahuje výsledky a odporučenia pre zlepšenie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Musia byť sú preskúmavané</w:t>
      </w:r>
    </w:p>
    <w:p w:rsidR="00722C08" w:rsidRPr="007B5878" w:rsidRDefault="00722C08" w:rsidP="00722C08">
      <w:pPr>
        <w:pStyle w:val="Odsekzoznamu"/>
        <w:numPr>
          <w:ilvl w:val="1"/>
          <w:numId w:val="6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sú realizované i v prípade významných zmien v organizácii mimo plán</w:t>
      </w:r>
    </w:p>
    <w:p w:rsidR="00722C08" w:rsidRPr="007B5878" w:rsidRDefault="00722C08" w:rsidP="00722C08">
      <w:pPr>
        <w:ind w:left="1080"/>
        <w:rPr>
          <w:rFonts w:ascii="Tahoma" w:hAnsi="Tahoma" w:cs="Tahoma"/>
          <w:b/>
          <w:bCs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>Hodnotenie výkonnosti</w:t>
      </w:r>
    </w:p>
    <w:p w:rsidR="00722C08" w:rsidRPr="007B5878" w:rsidRDefault="00722C08" w:rsidP="00722C08">
      <w:pPr>
        <w:ind w:left="360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7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 Monitorovanie, meranie, analýza a vyhodnotenie - Zaviesť  systém monitorovania a merania s definovaním zodpovednosti a intervaly na meranie a monitorovanie.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Zaviesť proces interného audit na prvky BCMS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</w:rPr>
      </w:pPr>
    </w:p>
    <w:p w:rsidR="00722C08" w:rsidRPr="007B5878" w:rsidRDefault="00722C08" w:rsidP="00722C08">
      <w:pPr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2"/>
          <w:numId w:val="2"/>
        </w:num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Zlepšovanie 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7"/>
        </w:numPr>
        <w:spacing w:after="0" w:line="240" w:lineRule="auto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Nezhody a nápravné opatrenia - Nastavenie procesu na vysporiadanie sa s nezhodou to, aby boli prijaté opatrenia pre elimináciu príčin nezhody</w:t>
      </w:r>
    </w:p>
    <w:p w:rsidR="00722C08" w:rsidRPr="007B5878" w:rsidRDefault="00722C08" w:rsidP="00722C08">
      <w:pPr>
        <w:pStyle w:val="Odsekzoznamu"/>
        <w:rPr>
          <w:rFonts w:ascii="Tahoma" w:hAnsi="Tahoma" w:cs="Tahoma"/>
          <w:bCs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lastRenderedPageBreak/>
        <w:t xml:space="preserve">Požiadavky na zavedenie </w:t>
      </w:r>
      <w:bookmarkStart w:id="2" w:name="_Hlk131562634"/>
      <w:r w:rsidRPr="007B5878">
        <w:rPr>
          <w:rFonts w:ascii="Tahoma" w:hAnsi="Tahoma" w:cs="Tahoma"/>
          <w:b/>
          <w:bCs/>
          <w:sz w:val="28"/>
          <w:szCs w:val="28"/>
        </w:rPr>
        <w:t>nástroja na evidencie a procesov pre riadenie kybernetickej bezpečnosti, rizík,  zraniteľností a hrozieb</w:t>
      </w:r>
    </w:p>
    <w:bookmarkEnd w:id="2"/>
    <w:p w:rsidR="00722C08" w:rsidRPr="007B5878" w:rsidRDefault="00722C08" w:rsidP="00722C08">
      <w:pPr>
        <w:rPr>
          <w:rFonts w:ascii="Tahoma" w:hAnsi="Tahoma" w:cs="Tahoma"/>
          <w:sz w:val="20"/>
          <w:szCs w:val="20"/>
        </w:rPr>
      </w:pPr>
    </w:p>
    <w:p w:rsidR="00722C08" w:rsidRPr="007B5878" w:rsidRDefault="00722C08" w:rsidP="00722C08">
      <w:pPr>
        <w:spacing w:before="120" w:after="120"/>
        <w:ind w:firstLine="360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Oblasť komplexného riadenia bezpečnosti, procesov, dokumentácie a riadenia rizík bude zabezpečená implementáciou systému pre riadenie kybernetickej bezpečnosti, rizík,  zraniteľností a hrozieb zraniteľností a hrozieb. </w:t>
      </w:r>
    </w:p>
    <w:p w:rsidR="00722C08" w:rsidRPr="007B5878" w:rsidRDefault="00722C08" w:rsidP="00722C08">
      <w:pPr>
        <w:autoSpaceDE w:val="0"/>
        <w:autoSpaceDN w:val="0"/>
        <w:spacing w:line="244" w:lineRule="exact"/>
        <w:jc w:val="both"/>
        <w:rPr>
          <w:rFonts w:ascii="Tahoma" w:eastAsia="Arial" w:hAnsi="Tahoma" w:cs="Tahoma"/>
          <w:bCs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 xml:space="preserve">Obstarávateľ požaduje implementáciu, ktorá bude v prostredí obstarávateľa.  </w:t>
      </w:r>
    </w:p>
    <w:p w:rsidR="00722C08" w:rsidRPr="007B5878" w:rsidRDefault="00722C08" w:rsidP="00722C08">
      <w:pPr>
        <w:autoSpaceDE w:val="0"/>
        <w:autoSpaceDN w:val="0"/>
        <w:spacing w:line="244" w:lineRule="exact"/>
        <w:jc w:val="both"/>
        <w:rPr>
          <w:rFonts w:ascii="Tahoma" w:eastAsia="Arial" w:hAnsi="Tahoma" w:cs="Tahoma"/>
          <w:bCs/>
          <w:color w:val="000000"/>
          <w:spacing w:val="-5"/>
          <w:w w:val="105"/>
        </w:rPr>
      </w:pPr>
    </w:p>
    <w:p w:rsidR="00722C08" w:rsidRPr="007B5878" w:rsidRDefault="00722C08" w:rsidP="00722C08">
      <w:pPr>
        <w:pStyle w:val="Odsekzoznamu"/>
        <w:numPr>
          <w:ilvl w:val="0"/>
          <w:numId w:val="27"/>
        </w:numPr>
        <w:autoSpaceDE w:val="0"/>
        <w:autoSpaceDN w:val="0"/>
        <w:spacing w:line="252" w:lineRule="exact"/>
        <w:ind w:right="41"/>
        <w:rPr>
          <w:rFonts w:ascii="Tahoma" w:eastAsia="Arial" w:hAnsi="Tahoma" w:cs="Tahoma"/>
          <w:b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 xml:space="preserve">Funkčné požiadavky na parametre služby: </w:t>
      </w:r>
    </w:p>
    <w:p w:rsidR="00722C08" w:rsidRPr="007B5878" w:rsidRDefault="00722C08" w:rsidP="00722C08">
      <w:pPr>
        <w:pStyle w:val="Odsekzoznamu"/>
        <w:autoSpaceDE w:val="0"/>
        <w:autoSpaceDN w:val="0"/>
        <w:spacing w:line="252" w:lineRule="exact"/>
        <w:ind w:right="41"/>
        <w:rPr>
          <w:rFonts w:ascii="Tahoma" w:eastAsia="Arial" w:hAnsi="Tahoma" w:cs="Tahoma"/>
          <w:b/>
          <w:color w:val="000000"/>
          <w:spacing w:val="-5"/>
          <w:w w:val="105"/>
        </w:rPr>
      </w:pPr>
    </w:p>
    <w:p w:rsidR="00722C08" w:rsidRPr="007B5878" w:rsidRDefault="00722C08" w:rsidP="00722C08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line="244" w:lineRule="exact"/>
        <w:rPr>
          <w:rFonts w:ascii="Tahoma" w:eastAsia="Arial" w:hAnsi="Tahoma" w:cs="Tahoma"/>
          <w:bCs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 xml:space="preserve">Lokálna implementácia v rámci datacentier obstarávateľa. </w:t>
      </w:r>
    </w:p>
    <w:p w:rsidR="00722C08" w:rsidRPr="007B5878" w:rsidRDefault="00722C08" w:rsidP="00722C08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line="244" w:lineRule="exact"/>
        <w:rPr>
          <w:rFonts w:ascii="Tahoma" w:eastAsia="Arial" w:hAnsi="Tahoma" w:cs="Tahoma"/>
          <w:bCs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 xml:space="preserve">Systém musí byť možné nasadiť vo </w:t>
      </w:r>
      <w:proofErr w:type="spellStart"/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>virtualizovanom</w:t>
      </w:r>
      <w:proofErr w:type="spellEnd"/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 xml:space="preserve"> prostredí.</w:t>
      </w:r>
    </w:p>
    <w:p w:rsidR="00722C08" w:rsidRPr="007B5878" w:rsidRDefault="00722C08" w:rsidP="00722C08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line="244" w:lineRule="exact"/>
        <w:rPr>
          <w:rFonts w:ascii="Tahoma" w:eastAsia="Arial" w:hAnsi="Tahoma" w:cs="Tahoma"/>
          <w:bCs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Cs/>
          <w:color w:val="000000"/>
          <w:spacing w:val="-5"/>
          <w:w w:val="105"/>
        </w:rPr>
        <w:t xml:space="preserve">Riešenie je dodané ako jednotné softvérové riešenie s viacerými modulmi. </w:t>
      </w:r>
    </w:p>
    <w:p w:rsidR="00722C08" w:rsidRPr="007B5878" w:rsidRDefault="00722C08" w:rsidP="00722C0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00" w:afterAutospacing="1" w:line="240" w:lineRule="auto"/>
        <w:rPr>
          <w:rFonts w:ascii="Tahoma" w:eastAsiaTheme="minorEastAsia" w:hAnsi="Tahoma" w:cs="Tahoma"/>
          <w:iCs/>
          <w:color w:val="000000" w:themeColor="text1"/>
        </w:rPr>
      </w:pPr>
      <w:r w:rsidRPr="007B5878">
        <w:rPr>
          <w:rFonts w:ascii="Tahoma" w:hAnsi="Tahoma" w:cs="Tahoma"/>
          <w:iCs/>
          <w:color w:val="000000" w:themeColor="text1"/>
        </w:rPr>
        <w:t>Inštalácia a konfigurácia aplikačného programového vybavenia</w:t>
      </w:r>
    </w:p>
    <w:p w:rsidR="00722C08" w:rsidRPr="007B5878" w:rsidRDefault="00722C08" w:rsidP="00722C0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00" w:afterAutospacing="1" w:line="240" w:lineRule="auto"/>
        <w:rPr>
          <w:rFonts w:ascii="Tahoma" w:hAnsi="Tahoma" w:cs="Tahoma"/>
          <w:iCs/>
          <w:color w:val="000000" w:themeColor="text1"/>
        </w:rPr>
      </w:pPr>
      <w:r w:rsidRPr="007B5878">
        <w:rPr>
          <w:rFonts w:ascii="Tahoma" w:hAnsi="Tahoma" w:cs="Tahoma"/>
          <w:iCs/>
          <w:color w:val="000000" w:themeColor="text1"/>
        </w:rPr>
        <w:t xml:space="preserve">Implementácia procesných nastavení podľa špecifikácií vypracovaných v rámci analýzy </w:t>
      </w:r>
    </w:p>
    <w:p w:rsidR="00722C08" w:rsidRPr="007B5878" w:rsidRDefault="00722C08" w:rsidP="00722C0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00" w:afterAutospacing="1" w:line="240" w:lineRule="auto"/>
        <w:rPr>
          <w:rFonts w:ascii="Tahoma" w:hAnsi="Tahoma" w:cs="Tahoma"/>
          <w:iCs/>
          <w:color w:val="000000" w:themeColor="text1"/>
        </w:rPr>
      </w:pPr>
      <w:r w:rsidRPr="007B5878">
        <w:rPr>
          <w:rFonts w:ascii="Tahoma" w:hAnsi="Tahoma" w:cs="Tahoma"/>
          <w:iCs/>
          <w:color w:val="000000" w:themeColor="text1"/>
        </w:rPr>
        <w:t xml:space="preserve">Interné testovanie s testovacími dátami vyhotovenými zhotoviteľom, </w:t>
      </w:r>
    </w:p>
    <w:p w:rsidR="00722C08" w:rsidRPr="007B5878" w:rsidRDefault="00722C08" w:rsidP="00722C0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00" w:afterAutospacing="1" w:line="240" w:lineRule="auto"/>
        <w:rPr>
          <w:rFonts w:ascii="Tahoma" w:hAnsi="Tahoma" w:cs="Tahoma"/>
          <w:iCs/>
          <w:color w:val="000000" w:themeColor="text1"/>
        </w:rPr>
      </w:pPr>
      <w:r w:rsidRPr="007B5878">
        <w:rPr>
          <w:rFonts w:ascii="Tahoma" w:hAnsi="Tahoma" w:cs="Tahoma"/>
          <w:iCs/>
          <w:color w:val="000000" w:themeColor="text1"/>
        </w:rPr>
        <w:t>Vyhotovenie dokumentácie,</w:t>
      </w:r>
    </w:p>
    <w:p w:rsidR="00722C08" w:rsidRPr="007B5878" w:rsidRDefault="00722C08" w:rsidP="00722C0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00" w:afterAutospacing="1" w:line="240" w:lineRule="auto"/>
        <w:rPr>
          <w:rFonts w:ascii="Tahoma" w:hAnsi="Tahoma" w:cs="Tahoma"/>
          <w:iCs/>
          <w:color w:val="000000" w:themeColor="text1"/>
        </w:rPr>
      </w:pPr>
      <w:r w:rsidRPr="007B5878">
        <w:rPr>
          <w:rFonts w:ascii="Tahoma" w:hAnsi="Tahoma" w:cs="Tahoma"/>
          <w:iCs/>
          <w:color w:val="000000" w:themeColor="text1"/>
        </w:rPr>
        <w:t xml:space="preserve">Implementácia rozhraní s externými informačnými systémami, 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 xml:space="preserve">Dizajn </w:t>
      </w:r>
      <w:proofErr w:type="spellStart"/>
      <w:r w:rsidRPr="007B5878">
        <w:rPr>
          <w:color w:val="000000" w:themeColor="text1"/>
        </w:rPr>
        <w:t>wokflow</w:t>
      </w:r>
      <w:proofErr w:type="spellEnd"/>
      <w:r w:rsidRPr="007B5878">
        <w:rPr>
          <w:color w:val="000000" w:themeColor="text1"/>
        </w:rPr>
        <w:t>-u, implementácia bezpečnostných politík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Návrh a implementácia operačných postupov pre rutinné operácie správy s využitím funkcionality delenia práce pre jednotlivé tými v rámci organizácie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Mapovanie požiadaviek technického návrhu na funkčné celky infraštruktúry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Implementácia bezpečnostných politík do konfigurácií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 xml:space="preserve">Zohľadnenie backup politík a vytvorenie backup plánu, pre Log </w:t>
      </w:r>
      <w:proofErr w:type="spellStart"/>
      <w:r w:rsidRPr="007B5878">
        <w:rPr>
          <w:color w:val="000000" w:themeColor="text1"/>
        </w:rPr>
        <w:t>Data</w:t>
      </w:r>
      <w:proofErr w:type="spellEnd"/>
      <w:r w:rsidRPr="007B5878">
        <w:rPr>
          <w:color w:val="000000" w:themeColor="text1"/>
        </w:rPr>
        <w:t xml:space="preserve"> na zabezpečenie konzistencie a </w:t>
      </w:r>
      <w:proofErr w:type="spellStart"/>
      <w:r w:rsidRPr="007B5878">
        <w:rPr>
          <w:color w:val="000000" w:themeColor="text1"/>
        </w:rPr>
        <w:t>retencie</w:t>
      </w:r>
      <w:proofErr w:type="spellEnd"/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Prevádzková dokumentácia, udržiavanie a obnova (BCM a DR)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Komplexná technická dokumentácia na všetkých vrstvách dodaného riešenia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Know-how transfer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Implementácia a parametrizácia riešenia, migrácia existujúcich dokumentov, smerníc a predpisov obstarávateľa.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Integráciu s LDAP zadávateľa a definovanie rolí v rámci organizácie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Zabezpečenie jednotného projektového riadenia</w:t>
      </w:r>
    </w:p>
    <w:p w:rsidR="00722C08" w:rsidRPr="007B5878" w:rsidRDefault="00722C08" w:rsidP="00722C08">
      <w:pPr>
        <w:pStyle w:val="Odsekzoznamu"/>
        <w:numPr>
          <w:ilvl w:val="0"/>
          <w:numId w:val="27"/>
        </w:numPr>
        <w:autoSpaceDE w:val="0"/>
        <w:autoSpaceDN w:val="0"/>
        <w:spacing w:line="252" w:lineRule="exact"/>
        <w:ind w:right="41"/>
        <w:rPr>
          <w:rFonts w:ascii="Tahoma" w:eastAsia="Arial" w:hAnsi="Tahoma" w:cs="Tahoma"/>
          <w:b/>
          <w:color w:val="000000"/>
          <w:spacing w:val="-5"/>
          <w:w w:val="105"/>
        </w:rPr>
      </w:pPr>
      <w:proofErr w:type="spellStart"/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>Prerekvizity</w:t>
      </w:r>
      <w:proofErr w:type="spellEnd"/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 xml:space="preserve"> riešenia:</w:t>
      </w:r>
    </w:p>
    <w:p w:rsidR="00722C08" w:rsidRPr="007B5878" w:rsidRDefault="00722C08" w:rsidP="00722C08">
      <w:pPr>
        <w:pStyle w:val="SophistITNormaltext"/>
        <w:spacing w:after="100" w:afterAutospacing="1" w:line="240" w:lineRule="auto"/>
        <w:ind w:left="360" w:firstLine="0"/>
        <w:rPr>
          <w:color w:val="000000" w:themeColor="text1"/>
        </w:rPr>
      </w:pPr>
      <w:r w:rsidRPr="007B5878">
        <w:rPr>
          <w:color w:val="000000" w:themeColor="text1"/>
        </w:rPr>
        <w:t>Zadávateľ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Zadávateľ poskytne virtuálny priestor a prístupy – všetky aktivity spojené s inštaláciou zabezpečuje dodávateľ.</w:t>
      </w:r>
    </w:p>
    <w:p w:rsidR="00722C08" w:rsidRPr="007B5878" w:rsidRDefault="00722C08" w:rsidP="00722C08">
      <w:pPr>
        <w:pStyle w:val="SophistITNormaltext"/>
        <w:numPr>
          <w:ilvl w:val="0"/>
          <w:numId w:val="8"/>
        </w:numPr>
        <w:spacing w:after="100" w:afterAutospacing="1" w:line="240" w:lineRule="auto"/>
        <w:rPr>
          <w:color w:val="000000" w:themeColor="text1"/>
        </w:rPr>
      </w:pPr>
      <w:r w:rsidRPr="007B5878">
        <w:rPr>
          <w:color w:val="000000" w:themeColor="text1"/>
        </w:rPr>
        <w:t>Systému musí byť nasadený a udržiavaný v dvoch verziách – testovacia verzia, produkčná verzia.</w:t>
      </w:r>
    </w:p>
    <w:p w:rsidR="00722C08" w:rsidRPr="007B5878" w:rsidRDefault="00722C08" w:rsidP="00722C08">
      <w:pPr>
        <w:pStyle w:val="SophistITNormaltext"/>
        <w:spacing w:after="100" w:afterAutospacing="1" w:line="240" w:lineRule="auto"/>
        <w:ind w:left="720" w:firstLine="0"/>
        <w:rPr>
          <w:color w:val="000000" w:themeColor="text1"/>
        </w:rPr>
      </w:pPr>
      <w:r w:rsidRPr="007B5878">
        <w:rPr>
          <w:color w:val="000000" w:themeColor="text1"/>
        </w:rPr>
        <w:t>Požadovaný rozsah služieb v rámci implementácie: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Vstupná analýza a špecifikácia (analýza existujúcich dát, záznamov, procesov a dokumentácie)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lastRenderedPageBreak/>
        <w:t xml:space="preserve">Na základe analýzy definovanie požiadaviek, problémov, procesov, návrhy riešenia, a plánovanie 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Implementácia systému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Parametrizácia  a prípadné do vývoje 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Vkladanie testovacích dát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Základné školenia kľúčových zamestnancov a testovacích zamestnancov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 xml:space="preserve">Nastavenie </w:t>
      </w:r>
      <w:proofErr w:type="spellStart"/>
      <w:r w:rsidRPr="007B5878">
        <w:rPr>
          <w:color w:val="000000" w:themeColor="text1"/>
        </w:rPr>
        <w:t>Work-flow</w:t>
      </w:r>
      <w:proofErr w:type="spellEnd"/>
      <w:r w:rsidRPr="007B5878">
        <w:rPr>
          <w:color w:val="000000" w:themeColor="text1"/>
        </w:rPr>
        <w:t xml:space="preserve"> procesov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Nastavenie prepojení na externé systémy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Školenia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 xml:space="preserve">Školenie pre správcov systému 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 školenie pre manažérov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 školenia pre interných audítorov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 xml:space="preserve"> Školenia pre Manažérov kybernetickej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 školenia k dokumentácii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 školenia všetkých zamestnancov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Testovanie;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 testovanie funkcionality minimálne 1 mesiac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Plnenie produkčných dát, to znamená napríklad zoznam aktív a existujúcich hrozieb, zraniteľnosti a rizík</w:t>
      </w:r>
    </w:p>
    <w:p w:rsidR="00722C08" w:rsidRPr="007B5878" w:rsidRDefault="00722C08" w:rsidP="00722C08">
      <w:pPr>
        <w:pStyle w:val="SophistITNormaltext"/>
        <w:numPr>
          <w:ilvl w:val="1"/>
          <w:numId w:val="8"/>
        </w:numPr>
        <w:spacing w:after="0" w:line="240" w:lineRule="auto"/>
        <w:rPr>
          <w:color w:val="000000" w:themeColor="text1"/>
        </w:rPr>
      </w:pPr>
      <w:r w:rsidRPr="007B5878">
        <w:rPr>
          <w:color w:val="000000" w:themeColor="text1"/>
        </w:rPr>
        <w:t>Nasadenie do prevádzky;</w:t>
      </w:r>
    </w:p>
    <w:p w:rsidR="00722C08" w:rsidRPr="007B5878" w:rsidRDefault="00722C08" w:rsidP="00722C08">
      <w:pPr>
        <w:pStyle w:val="SophistITNormaltext"/>
        <w:numPr>
          <w:ilvl w:val="1"/>
          <w:numId w:val="9"/>
        </w:numPr>
        <w:spacing w:after="0" w:line="240" w:lineRule="auto"/>
        <w:ind w:left="1843"/>
        <w:rPr>
          <w:color w:val="000000" w:themeColor="text1"/>
        </w:rPr>
      </w:pPr>
      <w:r w:rsidRPr="007B5878">
        <w:rPr>
          <w:color w:val="000000" w:themeColor="text1"/>
        </w:rPr>
        <w:t>Aktívny dohľad nad produkčnou prevádzkou</w:t>
      </w:r>
    </w:p>
    <w:p w:rsidR="00722C08" w:rsidRPr="007B5878" w:rsidRDefault="00722C08" w:rsidP="00722C08">
      <w:pPr>
        <w:pStyle w:val="Odsekzoznamu"/>
        <w:widowControl w:val="0"/>
        <w:numPr>
          <w:ilvl w:val="1"/>
          <w:numId w:val="8"/>
        </w:numPr>
        <w:spacing w:line="256" w:lineRule="auto"/>
        <w:jc w:val="both"/>
        <w:rPr>
          <w:rFonts w:ascii="Tahoma" w:eastAsia="Times New Roman" w:hAnsi="Tahoma" w:cs="Tahoma"/>
          <w:color w:val="000000" w:themeColor="text1"/>
        </w:rPr>
      </w:pPr>
      <w:r w:rsidRPr="007B5878">
        <w:rPr>
          <w:rFonts w:ascii="Tahoma" w:hAnsi="Tahoma" w:cs="Tahoma"/>
          <w:color w:val="000000" w:themeColor="text1"/>
        </w:rPr>
        <w:t> </w:t>
      </w:r>
      <w:proofErr w:type="spellStart"/>
      <w:r w:rsidRPr="007B5878">
        <w:rPr>
          <w:rFonts w:ascii="Tahoma" w:eastAsia="Times New Roman" w:hAnsi="Tahoma" w:cs="Tahoma"/>
          <w:color w:val="000000" w:themeColor="text1"/>
        </w:rPr>
        <w:t>Support</w:t>
      </w:r>
      <w:proofErr w:type="spellEnd"/>
      <w:r w:rsidRPr="007B5878">
        <w:rPr>
          <w:rFonts w:ascii="Tahoma" w:hAnsi="Tahoma" w:cs="Tahoma"/>
          <w:color w:val="000000" w:themeColor="text1"/>
        </w:rPr>
        <w:t>:</w:t>
      </w:r>
      <w:r w:rsidRPr="007B5878">
        <w:rPr>
          <w:rFonts w:ascii="Tahoma" w:eastAsia="Times New Roman" w:hAnsi="Tahoma" w:cs="Tahoma"/>
          <w:color w:val="000000" w:themeColor="text1"/>
        </w:rPr>
        <w:t xml:space="preserve"> Monitoring, údržba, </w:t>
      </w:r>
      <w:r w:rsidRPr="007B5878">
        <w:rPr>
          <w:rFonts w:ascii="Tahoma" w:hAnsi="Tahoma" w:cs="Tahoma"/>
          <w:color w:val="000000" w:themeColor="text1"/>
        </w:rPr>
        <w:t>na 12 mesiacov</w:t>
      </w:r>
      <w:r w:rsidRPr="007B5878">
        <w:rPr>
          <w:rFonts w:ascii="Tahoma" w:eastAsia="Times New Roman" w:hAnsi="Tahoma" w:cs="Tahoma"/>
          <w:color w:val="000000" w:themeColor="text1"/>
        </w:rPr>
        <w:t>.</w:t>
      </w:r>
      <w:r w:rsidRPr="007B5878">
        <w:rPr>
          <w:rFonts w:ascii="Tahoma" w:hAnsi="Tahoma" w:cs="Tahoma"/>
          <w:color w:val="000000" w:themeColor="text1"/>
        </w:rPr>
        <w:t xml:space="preserve"> (</w:t>
      </w:r>
      <w:r w:rsidRPr="007B5878">
        <w:rPr>
          <w:rFonts w:ascii="Tahoma" w:eastAsia="Times New Roman" w:hAnsi="Tahoma" w:cs="Tahoma"/>
          <w:color w:val="000000" w:themeColor="text1"/>
        </w:rPr>
        <w:t xml:space="preserve">Súčasťou riešenia je aj podpora výrobcu v rozsahu 1 rokov). To znamená asistencia v prípade technických problémov s riešením. </w:t>
      </w:r>
    </w:p>
    <w:p w:rsidR="00722C08" w:rsidRPr="007B5878" w:rsidRDefault="00722C08" w:rsidP="00722C08">
      <w:pPr>
        <w:rPr>
          <w:rFonts w:ascii="Tahoma" w:eastAsia="Arial" w:hAnsi="Tahoma" w:cs="Tahoma"/>
          <w:bCs/>
          <w:color w:val="000000"/>
          <w:spacing w:val="-5"/>
          <w:w w:val="105"/>
        </w:rPr>
      </w:pPr>
    </w:p>
    <w:p w:rsidR="00722C08" w:rsidRPr="007B5878" w:rsidRDefault="00722C08" w:rsidP="00722C08">
      <w:pPr>
        <w:rPr>
          <w:rFonts w:ascii="Tahoma" w:eastAsia="Arial" w:hAnsi="Tahoma" w:cs="Tahoma"/>
          <w:bCs/>
          <w:color w:val="000000"/>
          <w:spacing w:val="-5"/>
          <w:w w:val="105"/>
          <w:sz w:val="20"/>
          <w:szCs w:val="20"/>
        </w:rPr>
      </w:pPr>
    </w:p>
    <w:p w:rsidR="00722C08" w:rsidRPr="007B5878" w:rsidRDefault="00722C08" w:rsidP="00722C08">
      <w:pPr>
        <w:pStyle w:val="Odsekzoznamu"/>
        <w:numPr>
          <w:ilvl w:val="0"/>
          <w:numId w:val="27"/>
        </w:numPr>
        <w:autoSpaceDE w:val="0"/>
        <w:autoSpaceDN w:val="0"/>
        <w:spacing w:line="252" w:lineRule="exact"/>
        <w:ind w:right="41"/>
        <w:rPr>
          <w:rFonts w:ascii="Tahoma" w:eastAsia="Arial" w:hAnsi="Tahoma" w:cs="Tahoma"/>
          <w:b/>
          <w:color w:val="000000"/>
          <w:spacing w:val="-5"/>
          <w:w w:val="105"/>
        </w:rPr>
      </w:pPr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>Požiadavky na systém: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Systém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Systém musí poskytovať riadenie kybernetickej bezpečnosti ako celku a v súlade so Zákonom o kybernetickej bezpečnosti.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Jazyk systému aj sprievodnej dokumentácie – slovenský alebo česky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v prípade potreby a rozhodnutia URHH a Manažéra KB musí byť systém schopný zastrešiť všetky evidenčné a procesné oblasti riadenia KB nezávisle od iných systémov a bez potreby integrácie na iné systémy.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systém nesmie byť zložený s viacerých samostatných špecifických systémov – požadované je jednotné riešenie a jednotná technológia v rámci všetkých definovaných funkcionalít.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systém musí umožňovať pracovať aj s databázami, ktoré nie potrebné priebežne platiť. Databáza bude dodaná Zadávateľom.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nástroj musí umožňovať úpravy existujúcich modulov a rolí/oprávnení podľa požiadaviek Zadávateľa.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Integrovaný zákon č. 69/2018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Z.z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. o kybernetickej bezpečnosti a požiadavky vyhlášky č. 362/2018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Z.z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. Obsah bezpečnostných opatrení, obsah a štruktúra bezpečnostnej dokumentácie a rozsah všeobecných bezpečnostných opatrení. To znamená, že systém mapuje opatrenia, aktíva, hrozby, rizika voči zákonu o kybernetickej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 xml:space="preserve">bezpečnosti č. 69/2018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Z.z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. 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>možnosť pracovať v systéme aj s inými bezpečnostnými štandardmi (napr. ISO 27001, ako separátny modul)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požadovaná integrácia s AD (min. LDAP), primárne na zdieľanie účtov.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definovať vlastné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workflow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procesy na úrovni celého systému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ku každému prvku (napr.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akZtíva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, systémové aktívum, hrozba a pod.) možnosť definovať neobmedzené množstvo užívateľských parametrov minimálne na úrovni textových polí alebo číselníkov (v rámci interných kapacít bez potreby súčinnosti dodávateľa)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systém musí umožňovať nastavenie pre každú rolu vo forme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read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only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(pridelený zamestnanec môže nahliadať ale nemôže nič pridávať, upravovať ani mazať)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nastaviť eskalačné procedúry pre jednotlivé činnosti (napr. plány v prípade neplnenia)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prepojiť so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service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deskom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, alebo CMDB databázou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využívať API rozhranie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riadenie prístupov v systéme musí pracovať princípom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Need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to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know</w:t>
            </w:r>
            <w:proofErr w:type="spellEnd"/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kompletná evidencia všetkých zmien zrealizovaných užívateľom alebo správcom s možnosťou zobraziť históriu zmien bez potreby generovať samostatné výstupy.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integrovaná OLAP kocka minimálne na úrovni pohľadov na informačné aktíva, systémové aktíva, hrozby, zraniteľnosti, opatrenia, riziká, nezhody a ich vzájomné súvislosti v danom okamihu.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Na základe prístupových práv možnosť užívateľsky vyexportovať akékoľvek zoznamy do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excelu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,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wordu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,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pdf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</w:t>
            </w:r>
          </w:p>
        </w:tc>
      </w:tr>
      <w:tr w:rsidR="00722C08" w:rsidRPr="007B5878" w:rsidTr="00646DCD">
        <w:trPr>
          <w:trHeight w:val="347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vytvoriť a automatizovane udržiavať Prehlásenie o aplikovateľnosti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každý užívateľ musí mať svoje jedinečné prihlasovacie údaje.</w:t>
            </w:r>
          </w:p>
        </w:tc>
      </w:tr>
      <w:tr w:rsidR="00722C08" w:rsidRPr="007B5878" w:rsidTr="00646DCD">
        <w:trPr>
          <w:trHeight w:val="426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automatizované pripomienkovanie a upozorňovanie zamestnancov v prípade ak majú zrealizovať nejakú aktivitu súvisiacu s procesmi KB. (napr. povinnosť aktualizovať analýzu rizík, povinnosť prehodnotiť informačné aktíva, povinnosť oboznámiť sa s dokumentom a pod.)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notifikácia aktivít minimálne na úrovni mailov.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proofErr w:type="spellStart"/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Org</w:t>
            </w:r>
            <w:proofErr w:type="spellEnd"/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. štruktúra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Org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 štruktúru mať možnosť integrovať s AD a pravidelne aktualizovať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integrácia s AD v rozsahu štruktúry „vedenie, odbor, oddelenie“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integrácia s AD v rozsahu zamestnanec, pracovná pozícia, zaradenie v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Org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 štruktúre, nadriadený zamestnanec, nástup a ukončenie pracovného pomeru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evidencie viacerých objektov (budov) a ich rozdelenie v rámci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Org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 štruktúry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vytvárať vlastné role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>možnosť užívateľsky vytvárať skupiny zamestnancov podľa potreby a následne s danými skupinami pracovať v rámci celého systému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v prípade zmien v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Org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 štruktúre automaticky upozorniť kompetentné osoby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Informačné aktíva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Vysvetlenie: Primárne aktíva - informácie, dáta, know-how apod. Systémové aktíva - informačné systémy,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hw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,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, siete, sieťové prvky, dodávatelia a pod.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vytvorenie a správu katalógu primárnych aktív a systémových aktív, ich väzieb, možnosť ich hodnotenia, nastavenie hierarchie, priraďovanie kompetentných osôb (vrátane externého subjektu ako tretej strany). možnosť dopĺňať ďalšie sledované parametre bez potreby do vývoja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priradiť k primárnemu aktívu neobmedzené množstvo systémových aktív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vlastné metriky hodnotení dôvernosti, integrity a dostupnosti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garantov aktív na úrovni zamestnanca, role alebo oddelenia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pre každé informačné aktívum musí mať možnosť definovať úroveň dôvernosti, integrity a dostupnosti v vzťahu ku každému priradenému systémovému aktívu samostatnú. Tento vzťah musí priamo vstupovať do analýzy rizík.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Systémové aktíva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popis, vlastné kategórie aktív, definovať ich logické (IT) umiestnenie, alebo fyzické umiestnenie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nastaviť, či hodnota systémového aktíva bude preberaná z pripojených primárnych aktív, alebo bude automatizovane vypočítavaná, alebo bude manuálne fixne definovaná.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systémové aktíva musí byť možné hromadne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naimportovať</w:t>
            </w:r>
            <w:proofErr w:type="spellEnd"/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ku každému systémovému aktívu musí byť možné priradiť opatrenia, ktoré sú na danom systémovom aktíve implementované.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Riadenie rizík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Vytvorenie a správa katalógu hrozieb, zraniteľností a opatrení, priraďovanie kompetentných osôb alebo externých subjektov.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užívateľsky definovať vlastné riziká, vlastné hrozby, zraniteľnosti, opatrenia. Vytváranie vlastných registrov. 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spracovanie Business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impact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analýzy (BIA) minimálne na úrovni informačných aktív a súvisiacich systémov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viac analýz súčasne vrátane metodík analýz (minimálne 2 – automatizovaná podľa aktuálnych zmien a systémová napr. na úrovni jedného roka)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automatizovaná analýza rizík na základe priebežných záznamov (incidenty, zistenia z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>auditov, zistenia z kontrol a podobne)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 xml:space="preserve">v prípade automatizovaných výpočtov rizík KB si URHH definuje vlastné vstupy, parametre, hodnoty, váhy a vzorce, ktoré budú vstupovať do automatizované výpočtu. 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Dodávateľ povinný na vyžiadanie poskytnúť podrobne rozpísané metodiky výpočtov analýz rizík, všetky položky, ktoré do výpočtov vstupujú, ich hodnoty a váhy a vzorce pre výpočet rizík.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riadenie rizík musí byť možné až do detailu konkrétneho aktíva, alebo systému v danom čase, vrátane s históriou výšky rizika na danom aktíve, alebo systéme.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ku každému riziku musí byť možné priradiť súvisiace informačné aktíva, systémové aktíva, opatrenia, zraniteľnosti, hrozby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ku každému riziku musí byť možné definovať plány zvládania rizika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jedno riziko môže mať viac plánov ako aj jeden plán môže zastrešovať viac rizík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pri realizácii plánov musí byť nastavený WF proces vrátane eskalačných procesov.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každý plán musí obsahovať minimálne popis aktivity, WF procesy, zodpovedné osoby, finančnú alebo kapacitnú náročnosť, termíny realizácie, a definovať osoby kto schváli že daný plán bol splnený, eskalačné procesy pre prípad, že sa plány nesplnili.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Zraniteľnosti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 si definuje vlastný katalóg zraniteľností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vytvárať skupiny zraniteľností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napojenia systému na monitorovacie systémy, alebo systémy riadenia zraniteľností. Možnosti budúcich integrácii. 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sledovať úroveň jednotlivých zraniteľností (v %, alebo inom číselnom vyjadrení) na základe reálneho vývoja bezpečnosti v prostredí URHH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každá zraniteľnosť musí mať pridelenú zodpovednú osobu, ktorá v prípade zneužitia zraniteľnosti je systémom okamžite informovaná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hodnoty zraniteľnosti fixne, alebo operatívne sa meniace podľa reálneho vývoja bezpečnosti v prostredí URHH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Hrozby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6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 si definuje vlastný katalóg hrozieb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7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vytvárať skupiny hrozieb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7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sledovať úroveň jednotlivých hrozieb (v %, alebo inom číselnom vyjadrení) na základe reálneho vývoja bezpečnosti v prostredí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7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každá hrozba musí mať pridelenú zodpovednú osobu, ktorá v prípade uskutočnenia hrozby je systémom okamžite informovaná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7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definovať hodnoty hrozieb fixne, alebo operatívne sa meniace podľa reálneho vývoja bezpečnosti v prostredí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URHH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lastRenderedPageBreak/>
              <w:t>Opatrenia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8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 si definuje vlastný katalóg opatrení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8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vytvárať skupiny opatrení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8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sledovať úroveň jednotlivých opatrení (v %, alebo inom číselnom vyjadrení) na základe reálneho vývoja bezpečnosti v prostredí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8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každé opatrenie musí mať pridelenú zodpovednú osobu, ktorá v prípade zlyhania opatrenia je systémom okamžite informovaná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8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definovať hodnoty opatrení fixne, alebo operatívne sa meniace podľa reálneho vývoja bezpečnosti v prostredí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Ciele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9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definovať ciele KB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9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ciele KB musia byť priamo prepojené s rizikami KB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9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každý plán musí obsahovať minimálne popis aktivity, WF procesy, zodpovedné osoby, finančnú alebo kapacitnú náročnosť, termíny realizácie, a definovať osoby kto schváli že daný plán bol splnený, eskalačné procesy pre prípad, že sa plány nesplnili.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9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prideliť jeden plán k viacerým cieľom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19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sledovať plnenie plánov napr. v % vyjadrení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Audity, kontroly, testy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Kompletná agenda auditov od plánovania cez realizáciu a vyhodnocovanie auditov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riadenie auditov v zmysle zákona č. 69/2018 o kybernetickej bezpečnosti. Nástroj umožní dokumentovanie auditných záznamov a správ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plánovať a riadiť audity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definovať vlastné kategórie auditov, kontrol, testov. Ako je napríklad testovanie voči známym zraniteľnostiam.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definovať vlastné kategórie zistení auditov, kontrol, testov a ich váhu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v rámci každého auditu možnosť definovať interného, alebo externého audítora, oddelenie na ktorom prebehne audit, presný dátum a čas kedy prebehne audit, predmet auditu, článok normy/vyhlášky/ zákona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v rámci jednotlivých zistení možnosť definovať väzby na aktíva, systémové aktíva, hrozby, zraniteľnosti.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zabezpečenie kompletnej evidencie  interných/externých auditov/kontrol, auditných plánov, auditných zistení, plány pre zvládanie auditných zistení vrátane možnosti notifikácie osôb, ktoré majú získať informácie o audite, zabezpečenie evidencie kontrol, vyhodnocovanie.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každý plán musí obsahovať minimálne popis aktivity, WF procesy, zodpovedné osoby, finančnú alebo kapacitnú náročnosť, termíny realizácie, a definovať osoby kto schváli </w:t>
            </w: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lastRenderedPageBreak/>
              <w:t>že daný plán bol splnený, eskalačné procesy pre prípad, že sa plány nesplnili.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0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lastRenderedPageBreak/>
              <w:t xml:space="preserve">možnosť automatizovane prepočítavať riziká na základe identifikovaných zistení v prostredí zadávateľa. 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Dokumentácia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Komplexná a kompletná správa bezpečnostnej dokumentácie na úrovni smerníc, politík, vyhlášok, záznamov, manuálov a pod.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možnosť riadiť prístupy k dokumentácii podľa vopred definovaných pravidiel, schválených </w:t>
            </w: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URHH</w:t>
            </w: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definovať práva pre každý dokument individuálne, ale aj pre skupiny dokumentov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vložiť dokument a riadiť v systéme celý životný cyklus od odoslania na pripomienkovanie, cez úpravy, schválenie, oboznamovanie až po ukončenie platnosti dokumentu a jeho vyradenie.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vygenerovať dokumentáciu na základe informácií zo systému a riadiť v systéme celý životný cyklus od odoslania na pripomienkovaní, cez úpravy, schválenie, oboznamovanie až po ukončenie platnosti dokumentu a jeho vyradenie.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kompletná evidencia všetkých zmien v každom vygenerovanom dokumente na úrovni zobrazenia pôvodného znenia a nového znenia,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 xml:space="preserve">evidencia všetkých popisov zmien v každom nevygenerovanom dokumente 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kompletná evidencia všetkých zmien v dokumente a autorov zmien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Riadenie verzií dokumentácie a archívne uloženie všetkých predchádzajúcich verzií dokumentu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pripomienkovanie návrhov dokumentácie (vrátane možnosti zabezpečenia notifikácie určených osôb na pripomienkovanie, notifikácie cieľovej skupiny užívateľov, že dokument bol aktualizovaný),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center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v rámci pripomienkovania kompletná evidencia všetkých pripomienok v dokumente s väzbou na text, ku ktorému je pripomienka daná, čas a dátum pripomienky, autora pripomienka a aj výsledok ako bola daná pripomienka spracovaná.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pripomienkovanie návrhov dokumentácie (vrátane možnosti zabezpečenia notifikácie určených osôb na pripomienkovanie, notifikácie cieľovej skupiny užívateľov, že dokument bol aktualizovaný),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automatizovaný proces oboznamovania sa s dokumentom a potvrdení o oboznamovaní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systém musí mať definovaný proces, prostredníctvom ktorého je možné vygenerovať prezenčnú listinu, vyškoliť zamestnancov osobne a následne danú prezenčnú listinu zapracovať do systému.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nastavenie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workflow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a eskalačných procesov pre pripomienkovanie, schvaľovanie a oboznamovanie  sa s predpismi,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>požadovaná možnosť tvorby a generovania dokumentácie podľa interného dizajn manuálu.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nastavenie neobmedzeného počtu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workflow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procesov pre jednotlivé typy dokumentov alebo záznamov. Tvorba, alebo úprava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workflow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procesov musí byť možná aj bez spoluúčasti dodávateľa –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t.j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. internými zamestnancami URHH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nastavenie dátumu platnosti dokumentu (od-do), dátumu vydania dokumentu,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1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nastavenie klasifikačného stupňa citlivosti informácií dokumentu,</w:t>
            </w:r>
          </w:p>
          <w:p w:rsidR="00722C08" w:rsidRPr="007B5878" w:rsidRDefault="00722C08" w:rsidP="00646DCD">
            <w:pPr>
              <w:pStyle w:val="Odsekzoznamu"/>
              <w:widowControl w:val="0"/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center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Externé subjekty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Riadenie dodávateľov/externých subjektov s vplyvom na kybernetickú bezpečnosť, priraďovanie ich rolí, hodnotenie subjektu z pohľadu dostupnosti, dôvernosti a integrity. možnosť priradenia externého subjektu k jednotlivým aktivitám, procesom, plánom  v rámci celého systému na úrovni kompetentnej osoby externého subjektu.</w:t>
            </w:r>
          </w:p>
        </w:tc>
      </w:tr>
      <w:tr w:rsidR="00722C08" w:rsidRPr="007B5878" w:rsidTr="00646DCD">
        <w:trPr>
          <w:trHeight w:val="6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externé subjekty ako integrovanú súčasť systému s prepojením na informačné aktíva, systémy, opatrenia, hrozby, zraniteľnosti, audity a pod.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tretie strany až na úroveň konkrétneho zamestnanca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riadiť role zamestnancov externých subjektov rovnako ako interných zamestnancov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2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definovať kompetencie a povinnosti zamestnancov externých subjektov rovnako ako interných zamestnancov.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Incidenty / udalosti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evidovať podrobne všetky bezpečnostné incidenty a udalosti a ich súvislosti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možnosť definovať vlastné kategórie incidentov a udalostí a definovať k nim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workflow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proces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v rámci každého incidentu / udalosti možnosť definovať miesto, čas, zodpovedné osoby, úroveň škody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integrácie s existujúcou evidenciou, alebo inými bezpečnostnými systémami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v rámci jednotlivých incidentov / udalostí možnosť definovať väzby na aktíva, systémové aktíva, hrozby, zraniteľnosti.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definovať pre každý incident viac plánov na zvládanie incidentu</w:t>
            </w:r>
          </w:p>
        </w:tc>
      </w:tr>
      <w:tr w:rsidR="00722C08" w:rsidRPr="007B5878" w:rsidTr="00646DCD">
        <w:trPr>
          <w:trHeight w:val="9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každý plán musí obsahovať minimálne popis aktivity, WF procesy, zodpovedné osoby, finančnú alebo kapacitnú náročnosť, termíny realizácie, a definovať osoby ktoré schvália že daný plán bol splnený, eskalačné procesy pre prípad, že sa plány nesplnili.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kern w:val="2"/>
                <w14:ligatures w14:val="standardContextual"/>
              </w:rPr>
              <w:t>možnosť automatizovane prepočítavať riziká na základe jednotlivých incidentov / udalostí</w:t>
            </w:r>
          </w:p>
        </w:tc>
      </w:tr>
      <w:tr w:rsidR="00722C08" w:rsidRPr="007B5878" w:rsidTr="00646DCD">
        <w:trPr>
          <w:trHeight w:val="8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3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vyhodnocovať incidenty za určité obdobie a identifikovať koreňové príčiny incidentov / udalostí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Výstupy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lastRenderedPageBreak/>
              <w:t>Možnosť definovať vlastné výstupy vo forme tabuliek alebo grafov (XLS, PDF,XML)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zobrazovať výsledky tabuliek a grafov k definovanému času, alebo určiť interval aktualizácie dát.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automatizovane zasielať vybrané výstupy určenými osobám v určených intervaloch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riadiť prístupy (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edit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,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read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 xml:space="preserve"> </w:t>
            </w:r>
            <w:proofErr w:type="spellStart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only</w:t>
            </w:r>
            <w:proofErr w:type="spellEnd"/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) k jednotlivým výstupom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prepojenia na externé manažérske systémy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4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užívateľsky definovať aké výstupy sa majú zobrazovať na úvodnej obrazovke systému po prihlásení užívateľa.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noWrap/>
            <w:vAlign w:val="bottom"/>
            <w:hideMark/>
          </w:tcPr>
          <w:p w:rsidR="00722C08" w:rsidRPr="007B5878" w:rsidRDefault="00722C08" w:rsidP="00646DCD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spacing w:line="252" w:lineRule="exact"/>
              <w:ind w:right="41"/>
              <w:rPr>
                <w:rFonts w:ascii="Tahoma" w:eastAsia="Times New Roman" w:hAnsi="Tahoma" w:cs="Tahoma"/>
                <w:b/>
                <w:bCs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Arial" w:hAnsi="Tahoma" w:cs="Tahoma"/>
                <w:b/>
                <w:color w:val="000000"/>
                <w:spacing w:val="-5"/>
                <w:w w:val="105"/>
              </w:rPr>
              <w:t>Logovanie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logovanie všetkých užívateľských aj systémových aktivít v systéme</w:t>
            </w:r>
          </w:p>
        </w:tc>
      </w:tr>
      <w:tr w:rsidR="00722C08" w:rsidRPr="007B5878" w:rsidTr="00646DCD">
        <w:trPr>
          <w:trHeight w:val="300"/>
        </w:trPr>
        <w:tc>
          <w:tcPr>
            <w:tcW w:w="5000" w:type="pct"/>
            <w:vAlign w:val="bottom"/>
            <w:hideMark/>
          </w:tcPr>
          <w:p w:rsidR="00722C08" w:rsidRPr="007B5878" w:rsidRDefault="00722C08" w:rsidP="00646DCD">
            <w:pPr>
              <w:pStyle w:val="Odsekzoznamu"/>
              <w:widowControl w:val="0"/>
              <w:numPr>
                <w:ilvl w:val="0"/>
                <w:numId w:val="25"/>
              </w:numPr>
              <w:spacing w:before="60" w:after="60" w:line="256" w:lineRule="auto"/>
              <w:jc w:val="both"/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</w:pPr>
            <w:r w:rsidRPr="007B5878">
              <w:rPr>
                <w:rFonts w:ascii="Tahoma" w:eastAsia="Times New Roman" w:hAnsi="Tahoma" w:cs="Tahoma"/>
                <w:color w:val="000000"/>
                <w:kern w:val="2"/>
                <w14:ligatures w14:val="standardContextual"/>
              </w:rPr>
              <w:t>možnosť prepojenia na externé monitorovacie systémy</w:t>
            </w:r>
          </w:p>
        </w:tc>
      </w:tr>
    </w:tbl>
    <w:p w:rsidR="00722C08" w:rsidRPr="007B5878" w:rsidRDefault="00722C08" w:rsidP="00722C08">
      <w:pPr>
        <w:spacing w:line="256" w:lineRule="auto"/>
        <w:jc w:val="both"/>
        <w:rPr>
          <w:rFonts w:ascii="Tahoma" w:hAnsi="Tahoma" w:cs="Tahoma"/>
          <w:b/>
        </w:rPr>
      </w:pPr>
    </w:p>
    <w:p w:rsidR="00722C08" w:rsidRPr="007B5878" w:rsidRDefault="00722C08" w:rsidP="00722C08">
      <w:pPr>
        <w:spacing w:line="256" w:lineRule="auto"/>
        <w:jc w:val="both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 xml:space="preserve">Minimálne 3 referencie nasadenia systému a jeho využívania minimálne 1 rok v ostrej prevádzke vo vyššie požadovanej funkcionalite v rozsahu pre 100 a viac užívateľov. </w:t>
      </w:r>
    </w:p>
    <w:p w:rsidR="00722C08" w:rsidRPr="007B5878" w:rsidRDefault="00722C08" w:rsidP="00722C08">
      <w:pPr>
        <w:spacing w:line="256" w:lineRule="auto"/>
        <w:jc w:val="both"/>
        <w:rPr>
          <w:rFonts w:ascii="Tahoma" w:hAnsi="Tahoma" w:cs="Tahoma"/>
          <w:b/>
        </w:rPr>
      </w:pPr>
    </w:p>
    <w:p w:rsidR="00722C08" w:rsidRPr="007B5878" w:rsidRDefault="00722C08" w:rsidP="00722C08">
      <w:pPr>
        <w:pStyle w:val="Odsekzoznamu"/>
        <w:numPr>
          <w:ilvl w:val="0"/>
          <w:numId w:val="27"/>
        </w:numPr>
        <w:autoSpaceDE w:val="0"/>
        <w:autoSpaceDN w:val="0"/>
        <w:spacing w:line="252" w:lineRule="exact"/>
        <w:ind w:right="41"/>
        <w:rPr>
          <w:rFonts w:ascii="Tahoma" w:eastAsia="Arial" w:hAnsi="Tahoma" w:cs="Tahoma"/>
          <w:b/>
          <w:color w:val="000000"/>
          <w:spacing w:val="-5"/>
          <w:w w:val="105"/>
        </w:rPr>
      </w:pPr>
      <w:proofErr w:type="spellStart"/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>Licencovanie</w:t>
      </w:r>
      <w:proofErr w:type="spellEnd"/>
      <w:r w:rsidRPr="007B5878">
        <w:rPr>
          <w:rFonts w:ascii="Tahoma" w:eastAsia="Arial" w:hAnsi="Tahoma" w:cs="Tahoma"/>
          <w:b/>
          <w:color w:val="000000"/>
          <w:spacing w:val="-5"/>
          <w:w w:val="105"/>
        </w:rPr>
        <w:t xml:space="preserve"> </w:t>
      </w:r>
    </w:p>
    <w:p w:rsidR="00722C08" w:rsidRPr="007B5878" w:rsidRDefault="00722C08" w:rsidP="00722C08">
      <w:pPr>
        <w:autoSpaceDE w:val="0"/>
        <w:autoSpaceDN w:val="0"/>
        <w:spacing w:line="244" w:lineRule="exact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Požadujeme licenciu ktorá bude zodpovedať požiadavkám:</w:t>
      </w:r>
    </w:p>
    <w:p w:rsidR="00722C08" w:rsidRPr="007B5878" w:rsidRDefault="00722C08" w:rsidP="00722C08">
      <w:pPr>
        <w:pStyle w:val="Odsekzoznamu"/>
        <w:numPr>
          <w:ilvl w:val="1"/>
          <w:numId w:val="9"/>
        </w:numPr>
        <w:autoSpaceDE w:val="0"/>
        <w:autoSpaceDN w:val="0"/>
        <w:spacing w:after="0" w:line="244" w:lineRule="exact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minimálne pre 100 aktívnych používateľov ktorí budú aktívne pracovať v systéme</w:t>
      </w:r>
    </w:p>
    <w:p w:rsidR="00722C08" w:rsidRPr="007B5878" w:rsidRDefault="00722C08" w:rsidP="00722C08">
      <w:pPr>
        <w:pStyle w:val="Odsekzoznamu"/>
        <w:numPr>
          <w:ilvl w:val="1"/>
          <w:numId w:val="9"/>
        </w:numPr>
        <w:autoSpaceDE w:val="0"/>
        <w:autoSpaceDN w:val="0"/>
        <w:spacing w:after="0" w:line="244" w:lineRule="exact"/>
        <w:rPr>
          <w:rFonts w:ascii="Tahoma" w:hAnsi="Tahoma" w:cs="Tahoma"/>
          <w:bCs/>
        </w:rPr>
      </w:pPr>
      <w:r w:rsidRPr="007B5878">
        <w:rPr>
          <w:rFonts w:ascii="Tahoma" w:hAnsi="Tahoma" w:cs="Tahoma"/>
          <w:bCs/>
        </w:rPr>
        <w:t>minimálne 350 pasívnych užívateľov, ktorí budú pracovať v systéme len v prípade že ich systém vyzve aby zrealizovali nejakú aktivitu.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0"/>
          <w:numId w:val="26"/>
        </w:numPr>
        <w:jc w:val="both"/>
        <w:rPr>
          <w:rFonts w:ascii="Tahoma" w:hAnsi="Tahoma" w:cs="Tahoma"/>
          <w:b/>
          <w:bCs/>
          <w:sz w:val="28"/>
          <w:szCs w:val="28"/>
        </w:rPr>
      </w:pPr>
      <w:r w:rsidRPr="007B5878">
        <w:rPr>
          <w:rFonts w:ascii="Tahoma" w:hAnsi="Tahoma" w:cs="Tahoma"/>
          <w:b/>
          <w:bCs/>
          <w:sz w:val="28"/>
          <w:szCs w:val="28"/>
        </w:rPr>
        <w:t xml:space="preserve">Ostatné požiadavky </w:t>
      </w:r>
    </w:p>
    <w:p w:rsidR="00722C08" w:rsidRPr="007B5878" w:rsidRDefault="00722C08" w:rsidP="00722C08">
      <w:pPr>
        <w:rPr>
          <w:rFonts w:ascii="Tahoma" w:hAnsi="Tahoma" w:cs="Tahoma"/>
        </w:rPr>
      </w:pPr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Vypracovanie interných smerníc a prevádzkovej dokumentácie riadenia IB a </w:t>
      </w:r>
      <w:proofErr w:type="spellStart"/>
      <w:r w:rsidRPr="007B5878">
        <w:rPr>
          <w:rFonts w:ascii="Tahoma" w:hAnsi="Tahoma" w:cs="Tahoma"/>
        </w:rPr>
        <w:t>KyB</w:t>
      </w:r>
      <w:proofErr w:type="spellEnd"/>
    </w:p>
    <w:p w:rsidR="00722C08" w:rsidRPr="007B5878" w:rsidRDefault="00722C08" w:rsidP="00722C08">
      <w:pPr>
        <w:pStyle w:val="Odsekzoznamu"/>
        <w:numPr>
          <w:ilvl w:val="0"/>
          <w:numId w:val="1"/>
        </w:numPr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Stratégia kybernetickej bezpečnosti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Určiť SMART ciele na dosiahnutie súladu s požiadavkami </w:t>
      </w:r>
      <w:proofErr w:type="spellStart"/>
      <w:r w:rsidRPr="007B5878">
        <w:rPr>
          <w:rFonts w:ascii="Tahoma" w:hAnsi="Tahoma" w:cs="Tahoma"/>
        </w:rPr>
        <w:t>ZoKB</w:t>
      </w:r>
      <w:proofErr w:type="spellEnd"/>
      <w:r w:rsidRPr="007B5878">
        <w:rPr>
          <w:rFonts w:ascii="Tahoma" w:hAnsi="Tahoma" w:cs="Tahoma"/>
        </w:rPr>
        <w:t>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Určiť spôsob na dosiahnutie SMART cieľov kybernetickej bezpečnosti vo forme organizačných, personálnych, fyzických a technologických opatrení (napr. ISO 27002:2022) na implementovanie požiadaviek zákona č. 69/2018 Z. z.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Určiť úlohy, povinnosti a zodpovednosti za riadenie kybernetickej bezpečnosti, riadenie aktív, riadenie rizík kybernetickej bezpečnosti a aktualizáciu bezpečnostnej dokumentácie.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Zaviesť rámec riadenia bezpečnostnej dokumentácie pre celú organizáciu, v rozsahu podľa Príloha č. 2 k vyhláške č. 362/2018 Z. z.  B: Štruktúra bezpečnostnej politiky kybernetickej bezpečnosti a </w:t>
      </w:r>
      <w:proofErr w:type="spellStart"/>
      <w:r w:rsidRPr="007B5878">
        <w:rPr>
          <w:rFonts w:ascii="Tahoma" w:hAnsi="Tahoma" w:cs="Tahoma"/>
        </w:rPr>
        <w:t>personalizovať</w:t>
      </w:r>
      <w:proofErr w:type="spellEnd"/>
      <w:r w:rsidRPr="007B5878">
        <w:rPr>
          <w:rFonts w:ascii="Tahoma" w:hAnsi="Tahoma" w:cs="Tahoma"/>
        </w:rPr>
        <w:t xml:space="preserve"> jednotlivé oblasti.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Vypracovať stratégiu kybernetickej bezpečnosti, ktorá bude adresne popisovať všetkých 8 požiadaviek definovaných v Prílohe č. 1 A vyhlášky 362/2018 Z. z. a tomuto dokumentu </w:t>
      </w:r>
      <w:r w:rsidRPr="007B5878">
        <w:rPr>
          <w:rFonts w:ascii="Tahoma" w:hAnsi="Tahoma" w:cs="Tahoma"/>
        </w:rPr>
        <w:lastRenderedPageBreak/>
        <w:t>prideliť vlastníka, ktorý bude zodpovedať za jej následné udržiavanie, aktualizáciu a uplatňovanie v praxi.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 xml:space="preserve">Vypracovať politiky adresujúce všetkých 8 povinných oblastí podľa Prílohy 1 B vyhlášky 362/2018 Z. z. a </w:t>
      </w:r>
      <w:proofErr w:type="spellStart"/>
      <w:r w:rsidRPr="007B5878">
        <w:rPr>
          <w:rFonts w:ascii="Tahoma" w:hAnsi="Tahoma" w:cs="Tahoma"/>
        </w:rPr>
        <w:t>personalizovať</w:t>
      </w:r>
      <w:proofErr w:type="spellEnd"/>
      <w:r w:rsidRPr="007B5878">
        <w:rPr>
          <w:rFonts w:ascii="Tahoma" w:hAnsi="Tahoma" w:cs="Tahoma"/>
        </w:rPr>
        <w:t xml:space="preserve"> role pre implementáciu a aktualizovanie  bezpečnostných politík.</w:t>
      </w:r>
    </w:p>
    <w:p w:rsidR="00722C08" w:rsidRPr="007B5878" w:rsidRDefault="00722C08" w:rsidP="00722C08">
      <w:pPr>
        <w:ind w:left="142"/>
        <w:jc w:val="both"/>
        <w:rPr>
          <w:rFonts w:ascii="Tahoma" w:hAnsi="Tahoma" w:cs="Tahoma"/>
        </w:rPr>
      </w:pPr>
      <w:r w:rsidRPr="007B5878">
        <w:rPr>
          <w:rFonts w:ascii="Tahoma" w:hAnsi="Tahoma" w:cs="Tahoma"/>
        </w:rPr>
        <w:t>Zadokumentovať rozsah a spôsob plnenia všetkých bezpečnostných opatrení požadovaných zákonom č. 69/2018 Z. z., vyhláškou NBÚ č. 362/2018 Z. z . Pre vyhodnotenie efektívnosti procesov nastaviť jednotlivé KPI.</w:t>
      </w:r>
    </w:p>
    <w:p w:rsidR="00722C08" w:rsidRPr="007B5878" w:rsidRDefault="00722C08" w:rsidP="00722C08">
      <w:pPr>
        <w:pStyle w:val="Odsekzoznamu"/>
        <w:ind w:left="502"/>
        <w:jc w:val="both"/>
        <w:rPr>
          <w:rFonts w:ascii="Tahoma" w:hAnsi="Tahoma" w:cs="Tahoma"/>
        </w:rPr>
      </w:pPr>
    </w:p>
    <w:p w:rsidR="00746C88" w:rsidRDefault="00746C88"/>
    <w:sectPr w:rsidR="0074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24A"/>
    <w:multiLevelType w:val="hybridMultilevel"/>
    <w:tmpl w:val="D2E086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CA5"/>
    <w:multiLevelType w:val="hybridMultilevel"/>
    <w:tmpl w:val="46E0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6288"/>
    <w:multiLevelType w:val="hybridMultilevel"/>
    <w:tmpl w:val="A448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FB3"/>
    <w:multiLevelType w:val="hybridMultilevel"/>
    <w:tmpl w:val="5114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3383"/>
    <w:multiLevelType w:val="hybridMultilevel"/>
    <w:tmpl w:val="C30C5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0649"/>
    <w:multiLevelType w:val="hybridMultilevel"/>
    <w:tmpl w:val="AD7E58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42C"/>
    <w:multiLevelType w:val="hybridMultilevel"/>
    <w:tmpl w:val="8916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1141"/>
    <w:multiLevelType w:val="hybridMultilevel"/>
    <w:tmpl w:val="410C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4543A"/>
    <w:multiLevelType w:val="hybridMultilevel"/>
    <w:tmpl w:val="00D2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73312"/>
    <w:multiLevelType w:val="hybridMultilevel"/>
    <w:tmpl w:val="CC4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9F0"/>
    <w:multiLevelType w:val="hybridMultilevel"/>
    <w:tmpl w:val="6102E71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60E2"/>
    <w:multiLevelType w:val="hybridMultilevel"/>
    <w:tmpl w:val="ED20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E2125"/>
    <w:multiLevelType w:val="hybridMultilevel"/>
    <w:tmpl w:val="5E9A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26D81"/>
    <w:multiLevelType w:val="hybridMultilevel"/>
    <w:tmpl w:val="69069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1715"/>
    <w:multiLevelType w:val="hybridMultilevel"/>
    <w:tmpl w:val="615A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E465C"/>
    <w:multiLevelType w:val="hybridMultilevel"/>
    <w:tmpl w:val="F966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132EC"/>
    <w:multiLevelType w:val="hybridMultilevel"/>
    <w:tmpl w:val="F402B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E3782"/>
    <w:multiLevelType w:val="hybridMultilevel"/>
    <w:tmpl w:val="4510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44DC"/>
    <w:multiLevelType w:val="hybridMultilevel"/>
    <w:tmpl w:val="BF0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B5CA0"/>
    <w:multiLevelType w:val="hybridMultilevel"/>
    <w:tmpl w:val="230A8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1166"/>
    <w:multiLevelType w:val="hybridMultilevel"/>
    <w:tmpl w:val="5C26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46AE2"/>
    <w:multiLevelType w:val="hybridMultilevel"/>
    <w:tmpl w:val="7E96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018F"/>
    <w:multiLevelType w:val="hybridMultilevel"/>
    <w:tmpl w:val="F5545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7686B"/>
    <w:multiLevelType w:val="hybridMultilevel"/>
    <w:tmpl w:val="60A86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7DA"/>
    <w:multiLevelType w:val="hybridMultilevel"/>
    <w:tmpl w:val="93B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80D7F"/>
    <w:multiLevelType w:val="hybridMultilevel"/>
    <w:tmpl w:val="F528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10FAD"/>
    <w:multiLevelType w:val="hybridMultilevel"/>
    <w:tmpl w:val="32B25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5"/>
  </w:num>
  <w:num w:numId="5">
    <w:abstractNumId w:val="18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  <w:num w:numId="16">
    <w:abstractNumId w:val="14"/>
  </w:num>
  <w:num w:numId="17">
    <w:abstractNumId w:val="23"/>
  </w:num>
  <w:num w:numId="18">
    <w:abstractNumId w:val="17"/>
  </w:num>
  <w:num w:numId="19">
    <w:abstractNumId w:val="22"/>
  </w:num>
  <w:num w:numId="20">
    <w:abstractNumId w:val="4"/>
  </w:num>
  <w:num w:numId="21">
    <w:abstractNumId w:val="24"/>
  </w:num>
  <w:num w:numId="22">
    <w:abstractNumId w:val="25"/>
  </w:num>
  <w:num w:numId="23">
    <w:abstractNumId w:val="19"/>
  </w:num>
  <w:num w:numId="24">
    <w:abstractNumId w:val="12"/>
  </w:num>
  <w:num w:numId="25">
    <w:abstractNumId w:val="26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08"/>
    <w:rsid w:val="00722C08"/>
    <w:rsid w:val="007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D25"/>
  <w15:chartTrackingRefBased/>
  <w15:docId w15:val="{42C0D4CE-D4F3-4AEB-AD96-C9B019DD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2C08"/>
  </w:style>
  <w:style w:type="paragraph" w:styleId="Nadpis1">
    <w:name w:val="heading 1"/>
    <w:basedOn w:val="Normlny"/>
    <w:next w:val="Normlny"/>
    <w:link w:val="Nadpis1Char"/>
    <w:uiPriority w:val="9"/>
    <w:qFormat/>
    <w:rsid w:val="00722C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Use Case List Paragraph,Bullet List,body,Odstavec cíl se seznamem,Odstavec se seznamem1,VS_Odsek,Odsek zoznamu2,Odsek zoznamu Uroven 1,Bullets Level 1,Odsek,Bullet Number,lp1,lp11,List Paragraph11,Bullet 1,ZOZNAM,FooterText"/>
    <w:basedOn w:val="Normlny"/>
    <w:link w:val="OdsekzoznamuChar"/>
    <w:uiPriority w:val="34"/>
    <w:qFormat/>
    <w:rsid w:val="00722C08"/>
    <w:pPr>
      <w:ind w:left="720"/>
      <w:contextualSpacing/>
    </w:pPr>
  </w:style>
  <w:style w:type="character" w:customStyle="1" w:styleId="OdsekzoznamuChar">
    <w:name w:val="Odsek zoznamu Char"/>
    <w:aliases w:val="body 2 Char,Lista 1 Char,Use Case List Paragraph Char,Bullet List Char,body Char,Odstavec cíl se seznamem Char,Odstavec se seznamem1 Char,VS_Odsek Char,Odsek zoznamu2 Char,Odsek zoznamu Uroven 1 Char,Bullets Level 1 Char,Odsek Char"/>
    <w:link w:val="Odsekzoznamu"/>
    <w:uiPriority w:val="34"/>
    <w:qFormat/>
    <w:rsid w:val="00722C08"/>
  </w:style>
  <w:style w:type="paragraph" w:customStyle="1" w:styleId="SophistITNormaltext">
    <w:name w:val="SophistIT Normal text"/>
    <w:basedOn w:val="Zkladntext"/>
    <w:qFormat/>
    <w:rsid w:val="00722C08"/>
    <w:pPr>
      <w:spacing w:after="140" w:line="276" w:lineRule="auto"/>
      <w:ind w:firstLine="360"/>
      <w:jc w:val="both"/>
    </w:pPr>
    <w:rPr>
      <w:rFonts w:ascii="Tahoma" w:eastAsia="Times New Roman" w:hAnsi="Tahoma" w:cs="Tahoma"/>
      <w:color w:val="2E74B5" w:themeColor="accent1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722C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722C08"/>
    <w:pPr>
      <w:outlineLvl w:val="9"/>
    </w:pPr>
    <w:rPr>
      <w:lang w:val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22C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2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2023-09-28T14:36:00Z</dcterms:created>
  <dcterms:modified xsi:type="dcterms:W3CDTF">2023-09-28T14:39:00Z</dcterms:modified>
</cp:coreProperties>
</file>