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0E1E86">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0E1E86">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339BF922"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OP</w:t>
      </w:r>
      <w:bookmarkEnd w:id="4"/>
      <w:r w:rsidR="00D02149">
        <w:rPr>
          <w:rFonts w:asciiTheme="minorHAnsi" w:hAnsiTheme="minorHAnsi" w:cstheme="minorHAnsi"/>
        </w:rPr>
        <w:t xml:space="preserve">ŠT </w:t>
      </w:r>
      <w:r w:rsidR="0048462F">
        <w:rPr>
          <w:rFonts w:asciiTheme="minorHAnsi" w:hAnsiTheme="minorHAnsi" w:cstheme="minorHAnsi"/>
        </w:rPr>
        <w:t>4</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15495F0D"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D02149">
        <w:rPr>
          <w:rFonts w:asciiTheme="minorHAnsi" w:hAnsiTheme="minorHAnsi" w:cstheme="minorHAnsi"/>
        </w:rPr>
        <w:t>Štúrovo</w:t>
      </w:r>
      <w:r w:rsidRPr="007427CE">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5A5847D1"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31.1</w:t>
      </w:r>
      <w:r w:rsidR="00DA28AB">
        <w:rPr>
          <w:rFonts w:asciiTheme="minorHAnsi" w:hAnsiTheme="minorHAnsi" w:cstheme="minorHAnsi"/>
        </w:rPr>
        <w:t>2</w:t>
      </w:r>
      <w:r w:rsidR="007427CE" w:rsidRPr="007427CE">
        <w:rPr>
          <w:rFonts w:asciiTheme="minorHAnsi" w:hAnsiTheme="minorHAnsi" w:cstheme="minorHAnsi"/>
        </w:rPr>
        <w:t>.202</w:t>
      </w:r>
      <w:r w:rsidR="00DA28AB">
        <w:rPr>
          <w:rFonts w:asciiTheme="minorHAnsi" w:hAnsiTheme="minorHAnsi" w:cstheme="minorHAnsi"/>
        </w:rPr>
        <w:t>8</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31.1</w:t>
      </w:r>
      <w:r w:rsidR="00DA28AB">
        <w:rPr>
          <w:rFonts w:asciiTheme="minorHAnsi" w:hAnsiTheme="minorHAnsi" w:cstheme="minorHAnsi"/>
        </w:rPr>
        <w:t>2</w:t>
      </w:r>
      <w:r w:rsidR="007427CE">
        <w:rPr>
          <w:rFonts w:asciiTheme="minorHAnsi" w:hAnsiTheme="minorHAnsi" w:cstheme="minorHAnsi"/>
        </w:rPr>
        <w:t>.202</w:t>
      </w:r>
      <w:r w:rsidR="00DA28AB">
        <w:rPr>
          <w:rFonts w:asciiTheme="minorHAnsi" w:hAnsiTheme="minorHAnsi" w:cstheme="minorHAnsi"/>
        </w:rPr>
        <w:t>8</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4D296CE9" w:rsidR="00B119FA" w:rsidRPr="004746C2" w:rsidRDefault="000E1E86"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4F665724" w:rsidR="009E166B" w:rsidRDefault="000E1E86">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783A5444" w:rsidR="003E0CF8" w:rsidRPr="004746C2" w:rsidRDefault="000E1E86"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1E86"/>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03EC"/>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4C97"/>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462F"/>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C3366"/>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15BC9"/>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3BB6"/>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149"/>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28AB"/>
    <w:rsid w:val="00DA3B42"/>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4A4D-D903-4123-8A02-84400B3D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3905</Words>
  <Characters>22265</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2023-09-21T10:48:00Z</dcterms:modified>
  <cp:contentStatus/>
</cp:coreProperties>
</file>