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1D" w:rsidRDefault="0070131D" w:rsidP="0070131D">
      <w:pPr>
        <w:tabs>
          <w:tab w:val="left" w:pos="567"/>
          <w:tab w:val="left" w:pos="993"/>
        </w:tabs>
        <w:spacing w:after="60"/>
        <w:jc w:val="both"/>
        <w:rPr>
          <w:rFonts w:ascii="Arial" w:hAnsi="Arial" w:cs="Arial"/>
        </w:rPr>
      </w:pPr>
    </w:p>
    <w:p w:rsidR="0070131D" w:rsidRPr="0070131D" w:rsidRDefault="0070131D" w:rsidP="0070131D">
      <w:pPr>
        <w:tabs>
          <w:tab w:val="left" w:pos="567"/>
          <w:tab w:val="left" w:pos="993"/>
        </w:tabs>
        <w:spacing w:after="60"/>
        <w:jc w:val="both"/>
        <w:rPr>
          <w:rFonts w:ascii="Arial" w:hAnsi="Arial" w:cs="Arial"/>
          <w:b/>
          <w:i/>
          <w:sz w:val="24"/>
        </w:rPr>
      </w:pPr>
      <w:r w:rsidRPr="0070131D">
        <w:rPr>
          <w:rFonts w:ascii="Arial" w:hAnsi="Arial" w:cs="Arial"/>
          <w:b/>
          <w:i/>
        </w:rPr>
        <w:t>Celková cena za silovú zložku energie sa určí na základe tohto vzorca:</w:t>
      </w:r>
    </w:p>
    <w:p w:rsidR="0070131D" w:rsidRDefault="0070131D" w:rsidP="0070131D">
      <w:pPr>
        <w:pStyle w:val="Odsekzoznamu"/>
        <w:tabs>
          <w:tab w:val="left" w:pos="567"/>
          <w:tab w:val="left" w:pos="993"/>
        </w:tabs>
        <w:spacing w:after="60"/>
        <w:ind w:left="360"/>
        <w:jc w:val="both"/>
        <w:rPr>
          <w:rFonts w:ascii="Arial" w:hAnsi="Arial" w:cs="Arial"/>
          <w:b/>
          <w:sz w:val="24"/>
          <w:szCs w:val="22"/>
        </w:rPr>
      </w:pPr>
    </w:p>
    <w:p w:rsidR="0070131D" w:rsidRPr="00677C92" w:rsidRDefault="0070131D" w:rsidP="0070131D">
      <w:pPr>
        <w:pStyle w:val="Odsekzoznamu"/>
        <w:tabs>
          <w:tab w:val="left" w:pos="567"/>
          <w:tab w:val="left" w:pos="993"/>
        </w:tabs>
        <w:spacing w:after="60"/>
        <w:ind w:left="360"/>
        <w:jc w:val="center"/>
        <w:rPr>
          <w:rFonts w:ascii="Arial" w:hAnsi="Arial" w:cs="Arial"/>
          <w:sz w:val="24"/>
          <w:szCs w:val="22"/>
        </w:rPr>
      </w:pPr>
      <w:r w:rsidRPr="00677C92">
        <w:rPr>
          <w:rFonts w:ascii="Arial" w:hAnsi="Arial" w:cs="Arial"/>
          <w:b/>
          <w:sz w:val="24"/>
          <w:szCs w:val="22"/>
        </w:rPr>
        <w:t>Cena ISOT</w:t>
      </w:r>
      <w:r w:rsidRPr="00677C92">
        <w:rPr>
          <w:rFonts w:ascii="Arial" w:hAnsi="Arial" w:cs="Arial"/>
          <w:b/>
          <w:sz w:val="24"/>
          <w:szCs w:val="22"/>
          <w:vertAlign w:val="subscript"/>
        </w:rPr>
        <w:t>M</w:t>
      </w:r>
      <w:r w:rsidRPr="00677C92">
        <w:rPr>
          <w:rFonts w:ascii="Arial" w:hAnsi="Arial" w:cs="Arial"/>
          <w:b/>
          <w:sz w:val="24"/>
          <w:szCs w:val="22"/>
        </w:rPr>
        <w:t xml:space="preserve"> = </w:t>
      </w:r>
      <w:proofErr w:type="spellStart"/>
      <w:r w:rsidRPr="00677C92">
        <w:rPr>
          <w:rFonts w:ascii="Arial" w:hAnsi="Arial" w:cs="Arial"/>
          <w:b/>
          <w:sz w:val="24"/>
          <w:szCs w:val="22"/>
        </w:rPr>
        <w:t>Sum</w:t>
      </w:r>
      <w:proofErr w:type="spellEnd"/>
      <w:r w:rsidRPr="00677C92">
        <w:rPr>
          <w:rFonts w:ascii="Arial" w:hAnsi="Arial" w:cs="Arial"/>
          <w:b/>
          <w:sz w:val="24"/>
          <w:szCs w:val="22"/>
        </w:rPr>
        <w:t xml:space="preserve"> [(</w:t>
      </w:r>
      <w:proofErr w:type="spellStart"/>
      <w:r w:rsidRPr="00677C92">
        <w:rPr>
          <w:rFonts w:ascii="Arial" w:hAnsi="Arial" w:cs="Arial"/>
          <w:b/>
          <w:sz w:val="24"/>
          <w:szCs w:val="22"/>
        </w:rPr>
        <w:t>K</w:t>
      </w:r>
      <w:r w:rsidRPr="00677C92">
        <w:rPr>
          <w:rFonts w:ascii="Arial" w:hAnsi="Arial" w:cs="Arial"/>
          <w:b/>
          <w:sz w:val="24"/>
          <w:szCs w:val="22"/>
          <w:vertAlign w:val="subscript"/>
        </w:rPr>
        <w:t>y</w:t>
      </w:r>
      <w:proofErr w:type="spellEnd"/>
      <w:r w:rsidRPr="00677C92">
        <w:rPr>
          <w:rFonts w:ascii="Arial" w:hAnsi="Arial" w:cs="Arial"/>
          <w:b/>
          <w:sz w:val="24"/>
          <w:szCs w:val="22"/>
        </w:rPr>
        <w:t xml:space="preserve"> x ISOT</w:t>
      </w:r>
      <w:r w:rsidRPr="00677C92">
        <w:rPr>
          <w:rFonts w:ascii="Arial" w:hAnsi="Arial" w:cs="Arial"/>
          <w:b/>
          <w:sz w:val="24"/>
          <w:szCs w:val="22"/>
          <w:vertAlign w:val="subscript"/>
        </w:rPr>
        <w:t>DH</w:t>
      </w:r>
      <w:r w:rsidRPr="00677C92">
        <w:rPr>
          <w:rFonts w:ascii="Arial" w:hAnsi="Arial" w:cs="Arial"/>
          <w:b/>
          <w:sz w:val="24"/>
          <w:szCs w:val="22"/>
        </w:rPr>
        <w:t xml:space="preserve"> +</w:t>
      </w:r>
      <w:r>
        <w:rPr>
          <w:rFonts w:ascii="Arial" w:hAnsi="Arial" w:cs="Arial"/>
          <w:b/>
          <w:sz w:val="24"/>
          <w:szCs w:val="22"/>
        </w:rPr>
        <w:t xml:space="preserve"> A </w:t>
      </w:r>
      <w:r w:rsidRPr="00677C92">
        <w:rPr>
          <w:rFonts w:ascii="Arial" w:hAnsi="Arial" w:cs="Arial"/>
          <w:b/>
          <w:sz w:val="24"/>
          <w:szCs w:val="22"/>
        </w:rPr>
        <w:t>)</w:t>
      </w:r>
      <w:r w:rsidRPr="00677C92">
        <w:rPr>
          <w:rFonts w:ascii="Arial" w:hAnsi="Arial" w:cs="Arial"/>
          <w:b/>
          <w:sz w:val="24"/>
          <w:szCs w:val="22"/>
          <w:vertAlign w:val="subscript"/>
        </w:rPr>
        <w:t>DH</w:t>
      </w:r>
      <w:r w:rsidRPr="00677C92">
        <w:rPr>
          <w:rFonts w:ascii="Arial" w:hAnsi="Arial" w:cs="Arial"/>
          <w:b/>
          <w:sz w:val="24"/>
          <w:szCs w:val="22"/>
        </w:rPr>
        <w:t xml:space="preserve"> x N</w:t>
      </w:r>
      <w:r w:rsidRPr="00677C92">
        <w:rPr>
          <w:rFonts w:ascii="Arial" w:hAnsi="Arial" w:cs="Arial"/>
          <w:b/>
          <w:sz w:val="24"/>
          <w:szCs w:val="22"/>
          <w:vertAlign w:val="subscript"/>
        </w:rPr>
        <w:t>DH</w:t>
      </w:r>
      <w:r w:rsidRPr="00677C92">
        <w:rPr>
          <w:rFonts w:ascii="Arial" w:hAnsi="Arial" w:cs="Arial"/>
          <w:b/>
          <w:sz w:val="24"/>
          <w:szCs w:val="22"/>
        </w:rPr>
        <w:t>] / N</w:t>
      </w:r>
      <w:r w:rsidRPr="00677C92">
        <w:rPr>
          <w:rFonts w:ascii="Arial" w:hAnsi="Arial" w:cs="Arial"/>
          <w:b/>
          <w:sz w:val="24"/>
          <w:szCs w:val="22"/>
          <w:vertAlign w:val="subscript"/>
        </w:rPr>
        <w:t xml:space="preserve">DM </w:t>
      </w:r>
      <w:r w:rsidRPr="00677C92">
        <w:rPr>
          <w:rFonts w:ascii="Arial" w:hAnsi="Arial" w:cs="Arial"/>
          <w:b/>
          <w:sz w:val="24"/>
          <w:szCs w:val="22"/>
        </w:rPr>
        <w:t xml:space="preserve">        [EUR/MWh</w:t>
      </w:r>
      <w:r w:rsidRPr="00677C92">
        <w:rPr>
          <w:rFonts w:ascii="Arial" w:hAnsi="Arial" w:cs="Arial"/>
          <w:sz w:val="24"/>
          <w:szCs w:val="22"/>
        </w:rPr>
        <w:t>]</w:t>
      </w:r>
    </w:p>
    <w:p w:rsidR="0070131D" w:rsidRPr="00677C92" w:rsidRDefault="0070131D" w:rsidP="0070131D">
      <w:pPr>
        <w:pStyle w:val="Odsekzoznamu"/>
        <w:tabs>
          <w:tab w:val="left" w:pos="567"/>
          <w:tab w:val="left" w:pos="993"/>
        </w:tabs>
        <w:spacing w:after="60"/>
        <w:ind w:left="360"/>
        <w:jc w:val="both"/>
        <w:rPr>
          <w:rFonts w:ascii="Arial" w:hAnsi="Arial" w:cs="Arial"/>
          <w:sz w:val="24"/>
          <w:szCs w:val="22"/>
        </w:rPr>
      </w:pPr>
    </w:p>
    <w:p w:rsidR="0070131D" w:rsidRPr="00677C92" w:rsidRDefault="0070131D" w:rsidP="0070131D">
      <w:pPr>
        <w:pStyle w:val="Odsekzoznamu"/>
        <w:tabs>
          <w:tab w:val="left" w:pos="567"/>
          <w:tab w:val="left" w:pos="993"/>
        </w:tabs>
        <w:spacing w:after="60"/>
        <w:ind w:left="360"/>
        <w:jc w:val="both"/>
        <w:rPr>
          <w:rFonts w:ascii="Arial" w:hAnsi="Arial" w:cs="Arial"/>
          <w:sz w:val="24"/>
          <w:szCs w:val="22"/>
        </w:rPr>
      </w:pPr>
      <w:r w:rsidRPr="00677C92">
        <w:rPr>
          <w:rFonts w:ascii="Arial" w:hAnsi="Arial" w:cs="Arial"/>
          <w:sz w:val="24"/>
          <w:szCs w:val="22"/>
        </w:rPr>
        <w:t xml:space="preserve">pričom: </w:t>
      </w:r>
    </w:p>
    <w:p w:rsidR="0070131D" w:rsidRPr="00677C92" w:rsidRDefault="0070131D" w:rsidP="0070131D">
      <w:pPr>
        <w:pStyle w:val="Odsekzoznamu"/>
        <w:tabs>
          <w:tab w:val="left" w:pos="567"/>
          <w:tab w:val="left" w:pos="993"/>
        </w:tabs>
        <w:spacing w:after="60"/>
        <w:ind w:left="360"/>
        <w:jc w:val="both"/>
        <w:rPr>
          <w:rFonts w:ascii="Arial" w:hAnsi="Arial" w:cs="Arial"/>
          <w:sz w:val="24"/>
          <w:szCs w:val="22"/>
        </w:rPr>
      </w:pPr>
      <w:r w:rsidRPr="00677C92">
        <w:rPr>
          <w:rFonts w:ascii="Arial" w:hAnsi="Arial" w:cs="Arial"/>
          <w:sz w:val="24"/>
          <w:szCs w:val="22"/>
        </w:rPr>
        <w:t>„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7082"/>
      </w:tblGrid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b/>
                <w:sz w:val="22"/>
                <w:szCs w:val="22"/>
              </w:rPr>
              <w:t>ISOT</w:t>
            </w:r>
            <w:r w:rsidRPr="00AB258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7082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>je hodnota „Ceny ISOT“ v EUR/MWh pre príslušný mesiac „M“ dodávky</w:t>
            </w:r>
          </w:p>
        </w:tc>
      </w:tr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b/>
                <w:sz w:val="22"/>
                <w:szCs w:val="22"/>
              </w:rPr>
              <w:t>ISOT</w:t>
            </w:r>
            <w:r w:rsidRPr="00AB258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DH</w:t>
            </w:r>
          </w:p>
        </w:tc>
        <w:tc>
          <w:tcPr>
            <w:tcW w:w="7082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 xml:space="preserve">je hodnota „Ceny ISOT“ v EUR/MWh pre slovenskú obchodnú oblasť na dennom trhu organizovanom OKTE, </w:t>
            </w:r>
            <w:proofErr w:type="spellStart"/>
            <w:r w:rsidRPr="00AB2582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AB2582">
              <w:rPr>
                <w:rFonts w:ascii="Arial" w:hAnsi="Arial" w:cs="Arial"/>
                <w:sz w:val="22"/>
                <w:szCs w:val="22"/>
              </w:rPr>
              <w:t xml:space="preserve">., zverejňovaná na web adrese: </w:t>
            </w:r>
          </w:p>
          <w:p w:rsidR="0070131D" w:rsidRPr="00AB2582" w:rsidRDefault="0070131D" w:rsidP="00151D80">
            <w:pPr>
              <w:pStyle w:val="Odsekzoznamu"/>
              <w:tabs>
                <w:tab w:val="left" w:pos="179"/>
                <w:tab w:val="left" w:pos="993"/>
              </w:tabs>
              <w:spacing w:after="60"/>
              <w:ind w:left="179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 xml:space="preserve">- pre OM s meraním typu A </w:t>
            </w:r>
            <w:proofErr w:type="spellStart"/>
            <w:r w:rsidRPr="00AB2582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AB2582">
              <w:rPr>
                <w:rFonts w:ascii="Arial" w:hAnsi="Arial" w:cs="Arial"/>
                <w:sz w:val="22"/>
                <w:szCs w:val="22"/>
              </w:rPr>
              <w:t xml:space="preserve"> B </w:t>
            </w:r>
            <w:hyperlink r:id="rId7" w:history="1">
              <w:r w:rsidRPr="00AB2582">
                <w:rPr>
                  <w:rStyle w:val="Hypertextovprepojenie"/>
                  <w:rFonts w:ascii="Arial" w:hAnsi="Arial" w:cs="Arial"/>
                  <w:sz w:val="22"/>
                  <w:szCs w:val="22"/>
                </w:rPr>
                <w:t>https://www.okte.sk/sk/kratkodoby-trh/zverejnenie-udajov-dt/podrobny-prehlad-dt/</w:t>
              </w:r>
            </w:hyperlink>
            <w:r w:rsidRPr="00AB2582">
              <w:rPr>
                <w:rFonts w:ascii="Arial" w:hAnsi="Arial" w:cs="Arial"/>
                <w:sz w:val="22"/>
                <w:szCs w:val="22"/>
              </w:rPr>
              <w:t xml:space="preserve">  v záložke Krátkodobý trh | Zverejnenie údajov DT | Podrobný prehľad o DT pre príslušný kalendárny mesiac a rok dodávky | v stĺpci „Cena SK (EUR/MWh)“ pre príslušný deň „D“ a hodinu „H“ a mesiac „M“ dodávky; </w:t>
            </w:r>
          </w:p>
          <w:p w:rsidR="0070131D" w:rsidRPr="00AB2582" w:rsidRDefault="0070131D" w:rsidP="00151D80">
            <w:pPr>
              <w:pStyle w:val="Odsekzoznamu"/>
              <w:tabs>
                <w:tab w:val="left" w:pos="179"/>
                <w:tab w:val="left" w:pos="993"/>
              </w:tabs>
              <w:spacing w:after="60"/>
              <w:ind w:left="179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 xml:space="preserve">- pre OM s meraním C </w:t>
            </w:r>
            <w:hyperlink r:id="rId8" w:history="1">
              <w:r w:rsidRPr="00AB2582">
                <w:rPr>
                  <w:rStyle w:val="Hypertextovprepojenie"/>
                  <w:rFonts w:ascii="Arial" w:hAnsi="Arial" w:cs="Arial"/>
                  <w:sz w:val="22"/>
                  <w:szCs w:val="22"/>
                </w:rPr>
                <w:t>https://www.okte.sk/sk/kratkodoby-trh/zverejnenie-udajov-dt/podrobny-prehlad-dt/</w:t>
              </w:r>
            </w:hyperlink>
            <w:r w:rsidRPr="00AB2582">
              <w:rPr>
                <w:rFonts w:ascii="Arial" w:hAnsi="Arial" w:cs="Arial"/>
                <w:sz w:val="22"/>
                <w:szCs w:val="22"/>
              </w:rPr>
              <w:t xml:space="preserve">  v záložke Krátkodobý trh | Zverejnenie údajov DT | Podrobný prehľad o DT pre príslušný kalendárny mesiac a rok dodávky | v stĺpci „Cena SK (EUR/MWh)“pre príslušný deň „D“ a hodinu „H“ a mesiac „M“ dodávky podľa TDO;  </w:t>
            </w:r>
          </w:p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2582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AB258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y</w:t>
            </w:r>
            <w:proofErr w:type="spellEnd"/>
          </w:p>
        </w:tc>
        <w:tc>
          <w:tcPr>
            <w:tcW w:w="7082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 xml:space="preserve">je koeficient, ktorého číselná hodnota „y“ pre OM s meraním typu A </w:t>
            </w:r>
            <w:proofErr w:type="spellStart"/>
            <w:r w:rsidRPr="00AB2582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AB2582">
              <w:rPr>
                <w:rFonts w:ascii="Arial" w:hAnsi="Arial" w:cs="Arial"/>
                <w:sz w:val="22"/>
                <w:szCs w:val="22"/>
              </w:rPr>
              <w:t xml:space="preserve"> B je stanovená vo výške 1,00 a pre OM s meraním typu C je stanovená vo výške 1,04;</w:t>
            </w:r>
          </w:p>
        </w:tc>
      </w:tr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582">
              <w:rPr>
                <w:rFonts w:ascii="Arial" w:hAnsi="Arial" w:cs="Arial"/>
                <w:b/>
                <w:sz w:val="22"/>
                <w:szCs w:val="22"/>
              </w:rPr>
              <w:t>„H“</w:t>
            </w:r>
          </w:p>
        </w:tc>
        <w:tc>
          <w:tcPr>
            <w:tcW w:w="7082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 xml:space="preserve">je príslušná hodina daného dňa „D“, v ktorej množstvo odobratej elektriny bude ocenené cenou ISOT platnou pre danú hodinu „H“ v rámci dňa „D“; </w:t>
            </w:r>
          </w:p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582">
              <w:rPr>
                <w:rFonts w:ascii="Arial" w:hAnsi="Arial" w:cs="Arial"/>
                <w:b/>
                <w:sz w:val="22"/>
                <w:szCs w:val="22"/>
              </w:rPr>
              <w:t xml:space="preserve">„D“      </w:t>
            </w:r>
          </w:p>
        </w:tc>
        <w:tc>
          <w:tcPr>
            <w:tcW w:w="7082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>je pre účely výpočtu ceny podľa vzorca príslušný kalendárny deň dodávky;</w:t>
            </w:r>
          </w:p>
        </w:tc>
      </w:tr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582">
              <w:rPr>
                <w:rFonts w:ascii="Arial" w:hAnsi="Arial" w:cs="Arial"/>
                <w:b/>
                <w:sz w:val="22"/>
                <w:szCs w:val="22"/>
              </w:rPr>
              <w:t>„N</w:t>
            </w:r>
            <w:r w:rsidRPr="00AB258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DH</w:t>
            </w:r>
            <w:r w:rsidRPr="00AB2582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  <w:tc>
          <w:tcPr>
            <w:tcW w:w="7082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 xml:space="preserve">je skutočne odobraté množstvo elektriny odberateľom v deň „D“ a hodiny „H“ dodávky, v danom fakturačnom období; pre vylúčenie pochybností ide o odberateľom odobrané a hodinovými cenami ISOT ocenené hodinové množstvá </w:t>
            </w:r>
          </w:p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582">
              <w:rPr>
                <w:rFonts w:ascii="Arial" w:hAnsi="Arial" w:cs="Arial"/>
                <w:b/>
                <w:sz w:val="22"/>
                <w:szCs w:val="22"/>
              </w:rPr>
              <w:t>„N</w:t>
            </w:r>
            <w:r w:rsidRPr="00AB258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DM</w:t>
            </w:r>
            <w:r w:rsidRPr="00AB2582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  <w:tc>
          <w:tcPr>
            <w:tcW w:w="7082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>je odberateľom skutočne odobraté množstvo elektriny kumulatívne za celé príslušné fakturačné obdobie;</w:t>
            </w:r>
          </w:p>
        </w:tc>
      </w:tr>
      <w:tr w:rsidR="0070131D" w:rsidTr="00E56FA6">
        <w:tc>
          <w:tcPr>
            <w:tcW w:w="1620" w:type="dxa"/>
          </w:tcPr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2582">
              <w:rPr>
                <w:rFonts w:ascii="Arial" w:hAnsi="Arial" w:cs="Arial"/>
                <w:b/>
                <w:sz w:val="22"/>
                <w:szCs w:val="22"/>
              </w:rPr>
              <w:t>„A“</w:t>
            </w:r>
          </w:p>
        </w:tc>
        <w:tc>
          <w:tcPr>
            <w:tcW w:w="7082" w:type="dxa"/>
          </w:tcPr>
          <w:p w:rsidR="0070131D" w:rsidRPr="00AB2582" w:rsidRDefault="0070131D" w:rsidP="00151D80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rFonts w:ascii="Arial" w:hAnsi="Arial" w:cs="Arial"/>
              </w:rPr>
            </w:pPr>
            <w:r w:rsidRPr="00AB2582">
              <w:rPr>
                <w:rFonts w:ascii="Arial" w:hAnsi="Arial" w:cs="Arial"/>
                <w:i/>
              </w:rPr>
              <w:t xml:space="preserve">Aditívny koeficient </w:t>
            </w:r>
            <w:r w:rsidRPr="00AB2582">
              <w:rPr>
                <w:rFonts w:ascii="Arial" w:hAnsi="Arial" w:cs="Arial"/>
              </w:rPr>
              <w:t>- prirážka o ktorú sa zvýši „Cena ISOT (</w:t>
            </w:r>
            <w:r w:rsidRPr="00AB2582">
              <w:rPr>
                <w:rFonts w:ascii="Arial" w:hAnsi="Arial" w:cs="Arial"/>
                <w:b/>
              </w:rPr>
              <w:t>ISOT</w:t>
            </w:r>
            <w:r w:rsidRPr="00AB2582">
              <w:rPr>
                <w:rFonts w:ascii="Arial" w:hAnsi="Arial" w:cs="Arial"/>
                <w:b/>
                <w:vertAlign w:val="subscript"/>
              </w:rPr>
              <w:t>DH</w:t>
            </w:r>
            <w:r w:rsidRPr="00AB2582">
              <w:rPr>
                <w:rFonts w:ascii="Arial" w:hAnsi="Arial" w:cs="Arial"/>
              </w:rPr>
              <w:t xml:space="preserve"> )“</w:t>
            </w:r>
          </w:p>
          <w:p w:rsidR="0070131D" w:rsidRPr="00AB2582" w:rsidRDefault="0070131D" w:rsidP="00151D80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rFonts w:ascii="Arial" w:hAnsi="Arial" w:cs="Arial"/>
              </w:rPr>
            </w:pPr>
            <w:r w:rsidRPr="00AB2582">
              <w:rPr>
                <w:rFonts w:ascii="Arial" w:hAnsi="Arial" w:cs="Arial"/>
              </w:rPr>
              <w:t>- vyjadren</w:t>
            </w:r>
            <w:r>
              <w:rPr>
                <w:rFonts w:ascii="Arial" w:hAnsi="Arial" w:cs="Arial"/>
              </w:rPr>
              <w:t>ý</w:t>
            </w:r>
            <w:r w:rsidRPr="00AB2582">
              <w:rPr>
                <w:rFonts w:ascii="Arial" w:hAnsi="Arial" w:cs="Arial"/>
              </w:rPr>
              <w:t xml:space="preserve"> v EUR/MWh, číselne s 2 desatinnými miestami, </w:t>
            </w:r>
          </w:p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2582">
              <w:rPr>
                <w:rFonts w:ascii="Arial" w:hAnsi="Arial" w:cs="Arial"/>
                <w:sz w:val="22"/>
                <w:szCs w:val="22"/>
              </w:rPr>
              <w:t>- nemenn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  <w:r w:rsidRPr="00AB2582">
              <w:rPr>
                <w:rFonts w:ascii="Arial" w:hAnsi="Arial" w:cs="Arial"/>
                <w:sz w:val="22"/>
                <w:szCs w:val="22"/>
              </w:rPr>
              <w:t xml:space="preserve"> počas celého Zmluvného obdobia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0131D" w:rsidRPr="00AB2582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31D" w:rsidTr="00E56FA6">
        <w:trPr>
          <w:trHeight w:val="1444"/>
        </w:trPr>
        <w:tc>
          <w:tcPr>
            <w:tcW w:w="1620" w:type="dxa"/>
          </w:tcPr>
          <w:p w:rsidR="0070131D" w:rsidRPr="0070131D" w:rsidRDefault="0070131D" w:rsidP="00151D80">
            <w:pPr>
              <w:pStyle w:val="Odsekzoznamu"/>
              <w:tabs>
                <w:tab w:val="left" w:pos="567"/>
                <w:tab w:val="left" w:pos="993"/>
              </w:tabs>
              <w:spacing w:after="6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0131D">
              <w:rPr>
                <w:rFonts w:ascii="Arial" w:hAnsi="Arial" w:cs="Arial"/>
                <w:b/>
                <w:sz w:val="22"/>
              </w:rPr>
              <w:t>Hodnota koeficientu</w:t>
            </w:r>
            <w:r w:rsidRPr="0070131D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</w:p>
        </w:tc>
        <w:tc>
          <w:tcPr>
            <w:tcW w:w="7082" w:type="dxa"/>
          </w:tcPr>
          <w:p w:rsidR="0070131D" w:rsidRPr="0070131D" w:rsidRDefault="0070131D" w:rsidP="00151D80">
            <w:pPr>
              <w:tabs>
                <w:tab w:val="left" w:pos="567"/>
                <w:tab w:val="left" w:pos="993"/>
              </w:tabs>
              <w:spacing w:after="60"/>
              <w:jc w:val="both"/>
              <w:rPr>
                <w:rFonts w:ascii="Arial" w:hAnsi="Arial" w:cs="Arial"/>
              </w:rPr>
            </w:pPr>
            <w:r w:rsidRPr="0070131D">
              <w:rPr>
                <w:rFonts w:ascii="Arial" w:hAnsi="Arial" w:cs="Arial"/>
              </w:rPr>
              <w:t>je zmluvnými stranami pre účely tejto zmluvy dohodnutý vo výške:</w:t>
            </w:r>
          </w:p>
          <w:p w:rsidR="00E56FA6" w:rsidRDefault="00E56FA6" w:rsidP="0070131D">
            <w:pPr>
              <w:tabs>
                <w:tab w:val="left" w:pos="567"/>
                <w:tab w:val="left" w:pos="993"/>
              </w:tabs>
              <w:spacing w:after="60"/>
              <w:jc w:val="center"/>
              <w:rPr>
                <w:rFonts w:ascii="Arial" w:hAnsi="Arial" w:cs="Arial"/>
                <w:i/>
                <w:highlight w:val="yellow"/>
              </w:rPr>
            </w:pPr>
          </w:p>
          <w:p w:rsidR="0070131D" w:rsidRPr="00E56FA6" w:rsidRDefault="0070131D" w:rsidP="0070131D">
            <w:pPr>
              <w:tabs>
                <w:tab w:val="left" w:pos="567"/>
                <w:tab w:val="left" w:pos="993"/>
              </w:tabs>
              <w:spacing w:after="60"/>
              <w:jc w:val="center"/>
              <w:rPr>
                <w:rFonts w:ascii="Arial" w:hAnsi="Arial" w:cs="Arial"/>
                <w:b/>
                <w:i/>
              </w:rPr>
            </w:pPr>
            <w:r w:rsidRPr="00E56FA6">
              <w:rPr>
                <w:rFonts w:ascii="Arial" w:hAnsi="Arial" w:cs="Arial"/>
                <w:b/>
                <w:i/>
                <w:highlight w:val="yellow"/>
              </w:rPr>
              <w:t>.....................</w:t>
            </w:r>
            <w:r w:rsidRPr="00E56FA6">
              <w:rPr>
                <w:rFonts w:ascii="Arial" w:hAnsi="Arial" w:cs="Arial"/>
                <w:b/>
                <w:i/>
              </w:rPr>
              <w:t xml:space="preserve"> €/MWh</w:t>
            </w:r>
          </w:p>
        </w:tc>
      </w:tr>
    </w:tbl>
    <w:p w:rsidR="0070131D" w:rsidRDefault="0070131D" w:rsidP="0070131D">
      <w:pPr>
        <w:pStyle w:val="Odsekzoznamu"/>
        <w:tabs>
          <w:tab w:val="left" w:pos="567"/>
          <w:tab w:val="left" w:pos="993"/>
        </w:tabs>
        <w:spacing w:after="60"/>
        <w:ind w:left="360"/>
        <w:jc w:val="both"/>
        <w:rPr>
          <w:rFonts w:ascii="Arial" w:hAnsi="Arial" w:cs="Arial"/>
          <w:sz w:val="24"/>
          <w:szCs w:val="22"/>
        </w:rPr>
      </w:pPr>
    </w:p>
    <w:p w:rsidR="007108C2" w:rsidRDefault="007108C2">
      <w:bookmarkStart w:id="0" w:name="_GoBack"/>
      <w:bookmarkEnd w:id="0"/>
    </w:p>
    <w:sectPr w:rsidR="007108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31D" w:rsidRDefault="0070131D" w:rsidP="0070131D">
      <w:pPr>
        <w:spacing w:after="0" w:line="240" w:lineRule="auto"/>
      </w:pPr>
      <w:r>
        <w:separator/>
      </w:r>
    </w:p>
  </w:endnote>
  <w:endnote w:type="continuationSeparator" w:id="0">
    <w:p w:rsidR="0070131D" w:rsidRDefault="0070131D" w:rsidP="0070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31D" w:rsidRDefault="0070131D" w:rsidP="0070131D">
      <w:pPr>
        <w:spacing w:after="0" w:line="240" w:lineRule="auto"/>
      </w:pPr>
      <w:r>
        <w:separator/>
      </w:r>
    </w:p>
  </w:footnote>
  <w:footnote w:type="continuationSeparator" w:id="0">
    <w:p w:rsidR="0070131D" w:rsidRDefault="0070131D" w:rsidP="0070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31D" w:rsidRPr="0070131D" w:rsidRDefault="0070131D">
    <w:pPr>
      <w:pStyle w:val="Hlavika"/>
      <w:rPr>
        <w:rFonts w:ascii="Arial" w:hAnsi="Arial" w:cs="Arial"/>
      </w:rPr>
    </w:pPr>
    <w:r w:rsidRPr="0070131D">
      <w:rPr>
        <w:rFonts w:ascii="Arial" w:hAnsi="Arial" w:cs="Arial"/>
      </w:rPr>
      <w:t>Príloha č.2 Spôsob určenia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1D"/>
    <w:rsid w:val="0070131D"/>
    <w:rsid w:val="007108C2"/>
    <w:rsid w:val="00E5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D196"/>
  <w15:chartTrackingRefBased/>
  <w15:docId w15:val="{21994886-6210-4379-A775-83A7A66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013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0131D"/>
    <w:rPr>
      <w:color w:val="0563C1" w:themeColor="hyperlink"/>
      <w:u w:val="single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013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locked/>
    <w:rsid w:val="0070131D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0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31D"/>
  </w:style>
  <w:style w:type="paragraph" w:styleId="Pta">
    <w:name w:val="footer"/>
    <w:basedOn w:val="Normlny"/>
    <w:link w:val="PtaChar"/>
    <w:uiPriority w:val="99"/>
    <w:unhideWhenUsed/>
    <w:rsid w:val="0070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e.sk/sk/kratkodoby-trh/zverejnenie-udajov-dt/podrobny-prehlad-d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e.sk/sk/kratkodoby-trh/zverejnenie-udajov-dt/podrobny-prehlad-d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 Lubos, Mgr.</dc:creator>
  <cp:keywords/>
  <dc:description/>
  <cp:lastModifiedBy>Hazucha Lubos, Mgr.</cp:lastModifiedBy>
  <cp:revision>2</cp:revision>
  <dcterms:created xsi:type="dcterms:W3CDTF">2023-10-11T14:51:00Z</dcterms:created>
  <dcterms:modified xsi:type="dcterms:W3CDTF">2023-10-12T07:55:00Z</dcterms:modified>
</cp:coreProperties>
</file>