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32A51D35"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Organizačná zložka OZ  Poľana</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679D3E11"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Kriváň č. 334, 962 04 Kriváň</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04C773F0" w:rsidR="00E44E2B" w:rsidRPr="000A26DD" w:rsidRDefault="00ED05DE" w:rsidP="000035B2">
            <w:pPr>
              <w:rPr>
                <w:rFonts w:cs="Arial"/>
                <w:szCs w:val="20"/>
              </w:rPr>
            </w:pPr>
            <w:r w:rsidRPr="00ED05DE">
              <w:rPr>
                <w:rFonts w:cs="Arial"/>
                <w:szCs w:val="20"/>
              </w:rPr>
              <w:t>Ing. Ján Sokol – vedúci organizačnej zložky OZ  Poľana</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ADBD314"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+421455243201</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54E4F365"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dňa .....pod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....zo dňa ...pod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ED05DE" w:rsidRPr="00ED05DE">
        <w:rPr>
          <w:rFonts w:ascii="Arial" w:hAnsi="Arial" w:cs="Arial"/>
          <w:b/>
          <w:sz w:val="20"/>
          <w:lang w:val="sk-SK"/>
        </w:rPr>
        <w:t>Nákup kŕmnej repy pre OZ Poľana na rok 2023 - výzva č.18-1</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2893E47A" w14:textId="77777777" w:rsidR="006159F3" w:rsidRDefault="006159F3" w:rsidP="00E44E2B">
      <w:pPr>
        <w:suppressAutoHyphens/>
        <w:spacing w:after="0"/>
        <w:jc w:val="center"/>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7777777"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do 30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6427B749"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na 2 miesta dodania a to nasledovne: </w:t>
      </w:r>
    </w:p>
    <w:p w14:paraId="42B8139B" w14:textId="77777777" w:rsidR="00BB077C" w:rsidRPr="00BB077C" w:rsidRDefault="00BB077C" w:rsidP="00BB077C">
      <w:pPr>
        <w:spacing w:after="0" w:line="0" w:lineRule="atLeast"/>
        <w:ind w:left="284" w:firstLine="283"/>
        <w:contextualSpacing/>
        <w:jc w:val="both"/>
        <w:rPr>
          <w:rFonts w:cs="Arial"/>
          <w:szCs w:val="20"/>
        </w:rPr>
      </w:pPr>
      <w:r w:rsidRPr="00BB077C">
        <w:rPr>
          <w:rFonts w:cs="Arial"/>
          <w:szCs w:val="20"/>
        </w:rPr>
        <w:t xml:space="preserve">- </w:t>
      </w:r>
      <w:r w:rsidRPr="00BB077C">
        <w:rPr>
          <w:rFonts w:cs="Arial"/>
          <w:szCs w:val="20"/>
          <w:u w:val="single"/>
        </w:rPr>
        <w:t>1.miesto dodania</w:t>
      </w:r>
      <w:r w:rsidRPr="00BB077C">
        <w:rPr>
          <w:rFonts w:cs="Arial"/>
          <w:szCs w:val="20"/>
        </w:rPr>
        <w:t xml:space="preserve"> - (adresa): Očová č.1020 -časť Trnavy , 962 23 Očová-  v objeme 20 ton</w:t>
      </w:r>
    </w:p>
    <w:p w14:paraId="4304CCEF" w14:textId="62F521E9" w:rsidR="00E44E2B" w:rsidRDefault="00BB077C" w:rsidP="00BB077C">
      <w:pPr>
        <w:spacing w:after="0" w:line="0" w:lineRule="atLeast"/>
        <w:ind w:left="357" w:firstLine="210"/>
        <w:contextualSpacing/>
        <w:jc w:val="both"/>
        <w:rPr>
          <w:rFonts w:cs="Arial"/>
          <w:szCs w:val="20"/>
        </w:rPr>
      </w:pPr>
      <w:r w:rsidRPr="00BB077C">
        <w:rPr>
          <w:rFonts w:cs="Arial"/>
          <w:szCs w:val="20"/>
        </w:rPr>
        <w:t xml:space="preserve">- </w:t>
      </w:r>
      <w:r w:rsidRPr="00BB077C">
        <w:rPr>
          <w:rFonts w:cs="Arial"/>
          <w:szCs w:val="20"/>
          <w:u w:val="single"/>
        </w:rPr>
        <w:t>2.miesto dodania</w:t>
      </w:r>
      <w:r w:rsidRPr="00BB077C">
        <w:rPr>
          <w:rFonts w:cs="Arial"/>
          <w:szCs w:val="20"/>
        </w:rPr>
        <w:t xml:space="preserve"> - (adresa): Lesy SR </w:t>
      </w:r>
      <w:proofErr w:type="spellStart"/>
      <w:r w:rsidRPr="00BB077C">
        <w:rPr>
          <w:rFonts w:cs="Arial"/>
          <w:szCs w:val="20"/>
        </w:rPr>
        <w:t>š.p</w:t>
      </w:r>
      <w:proofErr w:type="spellEnd"/>
      <w:r w:rsidRPr="00BB077C">
        <w:rPr>
          <w:rFonts w:cs="Arial"/>
          <w:szCs w:val="20"/>
        </w:rPr>
        <w:t>., organizačná zložka OZ Poľana, LS Poľana, Horná Hriňová 1710, Hriňová v objeme 20 ton</w:t>
      </w:r>
    </w:p>
    <w:p w14:paraId="7122CAEC" w14:textId="77777777" w:rsidR="00BB077C" w:rsidRPr="000A26DD" w:rsidRDefault="00BB077C" w:rsidP="00BB077C">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29655BFB"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Ing. Ján Nôžka</w:t>
      </w:r>
      <w:r w:rsidR="00BB077C">
        <w:rPr>
          <w:rFonts w:cs="Arial"/>
          <w:szCs w:val="20"/>
        </w:rPr>
        <w:t xml:space="preserve">, mobil: 0918 335 558 , e-mail: </w:t>
      </w:r>
      <w:hyperlink r:id="rId8" w:history="1">
        <w:r w:rsidR="00BB077C" w:rsidRPr="00367C07">
          <w:rPr>
            <w:rStyle w:val="Hypertextovprepojenie"/>
            <w:rFonts w:cs="Arial"/>
            <w:szCs w:val="20"/>
          </w:rPr>
          <w:t>jan.nozka@lesy.sk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lastRenderedPageBreak/>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lastRenderedPageBreak/>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w:t>
      </w:r>
      <w:r w:rsidRPr="000A26DD">
        <w:rPr>
          <w:rFonts w:ascii="Arial" w:hAnsi="Arial" w:cs="Arial"/>
          <w:sz w:val="20"/>
          <w:lang w:val="sk-SK"/>
        </w:rPr>
        <w:lastRenderedPageBreak/>
        <w:t>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77777777" w:rsidR="00E44E2B" w:rsidRPr="000A26DD" w:rsidRDefault="00E44E2B"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CD0D618"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BB077C">
              <w:rPr>
                <w:rFonts w:ascii="Arial" w:hAnsi="Arial" w:cs="Arial"/>
                <w:sz w:val="20"/>
                <w:lang w:val="sk-SK"/>
              </w:rPr>
              <w:t>Kriváni</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15317CB0" w14:textId="77777777" w:rsidR="00BB077C" w:rsidRDefault="00BB077C" w:rsidP="000035B2">
            <w:pPr>
              <w:spacing w:after="0"/>
              <w:jc w:val="center"/>
              <w:rPr>
                <w:rFonts w:eastAsia="Calibri" w:cs="Arial"/>
                <w:b/>
                <w:szCs w:val="20"/>
              </w:rPr>
            </w:pPr>
            <w:r w:rsidRPr="001747EF">
              <w:rPr>
                <w:rFonts w:eastAsia="Calibri" w:cs="Arial"/>
                <w:b/>
                <w:szCs w:val="20"/>
              </w:rPr>
              <w:t>Ing. Ján Sokol</w:t>
            </w:r>
          </w:p>
          <w:p w14:paraId="26891F1E" w14:textId="658055C0" w:rsidR="00BB077C" w:rsidRPr="001747EF" w:rsidRDefault="00BB077C" w:rsidP="000035B2">
            <w:pPr>
              <w:spacing w:after="0"/>
              <w:jc w:val="center"/>
              <w:rPr>
                <w:rFonts w:eastAsia="Calibri" w:cs="Arial"/>
                <w:szCs w:val="20"/>
              </w:rPr>
            </w:pPr>
            <w:r w:rsidRPr="001747EF">
              <w:rPr>
                <w:rFonts w:eastAsia="Calibri" w:cs="Arial"/>
                <w:szCs w:val="20"/>
              </w:rPr>
              <w:t xml:space="preserve">Vedúci </w:t>
            </w:r>
            <w:r>
              <w:rPr>
                <w:rFonts w:eastAsia="Calibri" w:cs="Arial"/>
                <w:szCs w:val="20"/>
              </w:rPr>
              <w:t>o</w:t>
            </w:r>
            <w:r w:rsidRPr="001747EF">
              <w:rPr>
                <w:rFonts w:eastAsia="Calibri" w:cs="Arial"/>
                <w:szCs w:val="20"/>
              </w:rPr>
              <w:t xml:space="preserve">rganizačnej zložky </w:t>
            </w:r>
          </w:p>
          <w:p w14:paraId="757B77B2" w14:textId="77777777" w:rsidR="00BB077C" w:rsidRPr="00265718" w:rsidRDefault="00BB077C" w:rsidP="000035B2">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06B0EE7E" w14:textId="377AC2B8" w:rsidR="00E44E2B" w:rsidRDefault="00E44E2B" w:rsidP="00E44E2B">
      <w:pPr>
        <w:rPr>
          <w:rFonts w:cs="Arial"/>
          <w:szCs w:val="20"/>
        </w:rPr>
      </w:pPr>
    </w:p>
    <w:p w14:paraId="7B8CD96B" w14:textId="278FD539" w:rsidR="00FA0048" w:rsidRDefault="00FA0048" w:rsidP="00E44E2B">
      <w:pPr>
        <w:rPr>
          <w:rFonts w:cs="Arial"/>
          <w:szCs w:val="20"/>
        </w:rPr>
      </w:pPr>
    </w:p>
    <w:p w14:paraId="53F3B3DD" w14:textId="4F9812D9" w:rsidR="00FA0048" w:rsidRDefault="00FA0048" w:rsidP="00E44E2B">
      <w:pPr>
        <w:rPr>
          <w:rFonts w:cs="Arial"/>
          <w:szCs w:val="20"/>
        </w:rPr>
      </w:pPr>
    </w:p>
    <w:p w14:paraId="18180166" w14:textId="77777777"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49C85F82" w:rsidR="00E44E2B" w:rsidRPr="00495028" w:rsidRDefault="00E44E2B" w:rsidP="000035B2">
            <w:pPr>
              <w:rPr>
                <w:rFonts w:cs="Arial"/>
                <w:szCs w:val="20"/>
              </w:rPr>
            </w:pPr>
            <w:r w:rsidRPr="00495028">
              <w:rPr>
                <w:rFonts w:cs="Arial"/>
                <w:szCs w:val="20"/>
              </w:rPr>
              <w:t>Názov:</w:t>
            </w:r>
            <w:r w:rsidR="0012355B">
              <w:rPr>
                <w:rFonts w:cs="Arial"/>
                <w:szCs w:val="20"/>
              </w:rPr>
              <w:t xml:space="preserve">     Kŕmna repa</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07C25FFE" w14:textId="77777777" w:rsidR="00E44E2B" w:rsidRPr="00495028" w:rsidRDefault="00E44E2B" w:rsidP="000035B2">
            <w:pPr>
              <w:rPr>
                <w:rFonts w:cs="Arial"/>
                <w:b/>
                <w:bCs/>
                <w:szCs w:val="20"/>
              </w:rPr>
            </w:pPr>
            <w:r w:rsidRPr="00495028">
              <w:rPr>
                <w:rFonts w:cs="Arial"/>
                <w:b/>
                <w:bCs/>
                <w:szCs w:val="20"/>
              </w:rPr>
              <w:t>Funkčná a technická špecifikácia predmetu</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77777777" w:rsidR="00E44E2B" w:rsidRPr="00495028" w:rsidRDefault="00E44E2B" w:rsidP="000035B2">
            <w:pPr>
              <w:rPr>
                <w:rFonts w:cs="Arial"/>
                <w:szCs w:val="20"/>
              </w:rPr>
            </w:pPr>
            <w:r w:rsidRPr="00495028">
              <w:rPr>
                <w:rFonts w:cs="Arial"/>
                <w:szCs w:val="20"/>
              </w:rPr>
              <w:t>Názov položky</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64064BA8" w:rsidR="00E44E2B" w:rsidRPr="00495028" w:rsidRDefault="00E44E2B" w:rsidP="000035B2">
            <w:pPr>
              <w:rPr>
                <w:rFonts w:cs="Arial"/>
                <w:szCs w:val="20"/>
              </w:rPr>
            </w:pPr>
            <w:r w:rsidRPr="00495028">
              <w:rPr>
                <w:rFonts w:cs="Arial"/>
                <w:szCs w:val="20"/>
              </w:rPr>
              <w:t> </w:t>
            </w:r>
            <w:r w:rsidR="0012355B">
              <w:rPr>
                <w:rFonts w:cs="Arial"/>
                <w:szCs w:val="20"/>
              </w:rPr>
              <w:t>40</w:t>
            </w:r>
          </w:p>
        </w:tc>
      </w:tr>
      <w:tr w:rsidR="00E44E2B" w:rsidRPr="00495028" w14:paraId="66F53DF2" w14:textId="77777777" w:rsidTr="0012355B">
        <w:trPr>
          <w:trHeight w:val="300"/>
        </w:trPr>
        <w:tc>
          <w:tcPr>
            <w:tcW w:w="2390" w:type="dxa"/>
            <w:noWrap/>
            <w:hideMark/>
          </w:tcPr>
          <w:p w14:paraId="06855097"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43715CEA"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6F066658"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3913DB8"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55F9B082" w14:textId="77777777" w:rsidR="00E44E2B" w:rsidRPr="00495028" w:rsidRDefault="00E44E2B" w:rsidP="000035B2">
            <w:pPr>
              <w:rPr>
                <w:rFonts w:cs="Arial"/>
                <w:szCs w:val="20"/>
              </w:rPr>
            </w:pPr>
            <w:r w:rsidRPr="00495028">
              <w:rPr>
                <w:rFonts w:cs="Arial"/>
                <w:szCs w:val="20"/>
              </w:rPr>
              <w:t> </w:t>
            </w:r>
          </w:p>
        </w:tc>
      </w:tr>
      <w:tr w:rsidR="00E44E2B" w:rsidRPr="00495028" w14:paraId="4306483C" w14:textId="77777777" w:rsidTr="0012355B">
        <w:trPr>
          <w:trHeight w:val="300"/>
        </w:trPr>
        <w:tc>
          <w:tcPr>
            <w:tcW w:w="2390" w:type="dxa"/>
            <w:noWrap/>
            <w:hideMark/>
          </w:tcPr>
          <w:p w14:paraId="69565B22" w14:textId="77777777" w:rsidR="00E44E2B" w:rsidRPr="00495028" w:rsidRDefault="00E44E2B" w:rsidP="000035B2">
            <w:pPr>
              <w:rPr>
                <w:rFonts w:cs="Arial"/>
                <w:szCs w:val="20"/>
              </w:rPr>
            </w:pPr>
            <w:r w:rsidRPr="00495028">
              <w:rPr>
                <w:rFonts w:cs="Arial"/>
                <w:szCs w:val="20"/>
              </w:rPr>
              <w:t>Množstvo</w:t>
            </w:r>
          </w:p>
        </w:tc>
        <w:tc>
          <w:tcPr>
            <w:tcW w:w="1095" w:type="dxa"/>
            <w:noWrap/>
            <w:hideMark/>
          </w:tcPr>
          <w:p w14:paraId="30F3089C"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769E19AB"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2A4B9C86"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31C08DA2" w14:textId="77777777" w:rsidR="00E44E2B" w:rsidRPr="00495028" w:rsidRDefault="00E44E2B" w:rsidP="000035B2">
            <w:pPr>
              <w:rPr>
                <w:rFonts w:cs="Arial"/>
                <w:szCs w:val="20"/>
              </w:rPr>
            </w:pPr>
            <w:r w:rsidRPr="00495028">
              <w:rPr>
                <w:rFonts w:cs="Arial"/>
                <w:szCs w:val="20"/>
              </w:rPr>
              <w:t> </w:t>
            </w:r>
          </w:p>
        </w:tc>
      </w:tr>
      <w:tr w:rsidR="00E44E2B" w:rsidRPr="00495028" w14:paraId="7F63B68A" w14:textId="77777777" w:rsidTr="0012355B">
        <w:trPr>
          <w:trHeight w:val="300"/>
        </w:trPr>
        <w:tc>
          <w:tcPr>
            <w:tcW w:w="2390" w:type="dxa"/>
            <w:noWrap/>
            <w:hideMark/>
          </w:tcPr>
          <w:p w14:paraId="630DEB1B" w14:textId="77777777" w:rsidR="00E44E2B" w:rsidRPr="00495028" w:rsidRDefault="00E44E2B" w:rsidP="000035B2">
            <w:pPr>
              <w:rPr>
                <w:rFonts w:cs="Arial"/>
                <w:szCs w:val="20"/>
              </w:rPr>
            </w:pPr>
            <w:r w:rsidRPr="00495028">
              <w:rPr>
                <w:rFonts w:cs="Arial"/>
                <w:szCs w:val="20"/>
              </w:rPr>
              <w:t>Veľkosť balenia</w:t>
            </w:r>
          </w:p>
        </w:tc>
        <w:tc>
          <w:tcPr>
            <w:tcW w:w="1095" w:type="dxa"/>
            <w:noWrap/>
            <w:hideMark/>
          </w:tcPr>
          <w:p w14:paraId="28014553" w14:textId="419C870E" w:rsidR="00E44E2B" w:rsidRPr="00495028" w:rsidRDefault="00E44E2B" w:rsidP="000035B2">
            <w:pPr>
              <w:rPr>
                <w:rFonts w:cs="Arial"/>
                <w:szCs w:val="20"/>
              </w:rPr>
            </w:pPr>
            <w:r w:rsidRPr="00495028">
              <w:rPr>
                <w:rFonts w:cs="Arial"/>
                <w:szCs w:val="20"/>
              </w:rPr>
              <w:t> </w:t>
            </w:r>
            <w:r w:rsidR="00A31B5A">
              <w:rPr>
                <w:rFonts w:cs="Arial"/>
                <w:szCs w:val="20"/>
              </w:rPr>
              <w:t>kg</w:t>
            </w:r>
          </w:p>
        </w:tc>
        <w:tc>
          <w:tcPr>
            <w:tcW w:w="1178" w:type="dxa"/>
            <w:noWrap/>
            <w:hideMark/>
          </w:tcPr>
          <w:p w14:paraId="53CD44D0"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04D5BA3B"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65614AC" w14:textId="7EB4B678" w:rsidR="00E44E2B" w:rsidRPr="00495028" w:rsidRDefault="00E44E2B" w:rsidP="000035B2">
            <w:pPr>
              <w:rPr>
                <w:rFonts w:cs="Arial"/>
                <w:szCs w:val="20"/>
              </w:rPr>
            </w:pPr>
            <w:r w:rsidRPr="00495028">
              <w:rPr>
                <w:rFonts w:cs="Arial"/>
                <w:szCs w:val="20"/>
              </w:rPr>
              <w:t> </w:t>
            </w:r>
            <w:r w:rsidR="00A31B5A">
              <w:rPr>
                <w:rFonts w:cs="Arial"/>
                <w:szCs w:val="20"/>
              </w:rPr>
              <w:t>1000</w:t>
            </w:r>
            <w:bookmarkStart w:id="0" w:name="_GoBack"/>
            <w:bookmarkEnd w:id="0"/>
          </w:p>
        </w:tc>
      </w:tr>
      <w:tr w:rsidR="00E44E2B" w:rsidRPr="00495028" w14:paraId="4D50FD59" w14:textId="77777777" w:rsidTr="0012355B">
        <w:trPr>
          <w:trHeight w:val="300"/>
        </w:trPr>
        <w:tc>
          <w:tcPr>
            <w:tcW w:w="2390" w:type="dxa"/>
            <w:noWrap/>
            <w:hideMark/>
          </w:tcPr>
          <w:p w14:paraId="2F5EC4D8"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61B25DEB"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12C9FD34"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A037EE4"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327EA37" w14:textId="77777777" w:rsidR="00E44E2B" w:rsidRPr="00495028" w:rsidRDefault="00E44E2B" w:rsidP="000035B2">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21A5" w14:textId="77777777" w:rsidR="0028713F" w:rsidRDefault="0028713F">
      <w:r>
        <w:separator/>
      </w:r>
    </w:p>
  </w:endnote>
  <w:endnote w:type="continuationSeparator" w:id="0">
    <w:p w14:paraId="1A422193" w14:textId="77777777" w:rsidR="0028713F" w:rsidRDefault="0028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4E5B804"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31B5A">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31B5A">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A4847" w14:textId="77777777" w:rsidR="0028713F" w:rsidRDefault="0028713F">
      <w:r>
        <w:separator/>
      </w:r>
    </w:p>
  </w:footnote>
  <w:footnote w:type="continuationSeparator" w:id="0">
    <w:p w14:paraId="2FB9A1D7" w14:textId="77777777" w:rsidR="0028713F" w:rsidRDefault="0028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ozk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F695-E0DE-4558-BAA8-A9A2B53A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2878</Words>
  <Characters>16408</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19248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2023-02-28T10:10:00Z</cp:lastPrinted>
  <dcterms:created xsi:type="dcterms:W3CDTF">2023-10-17T08:37:00Z</dcterms:created>
  <dcterms:modified xsi:type="dcterms:W3CDTF">2023-10-18T20:43:00Z</dcterms:modified>
  <cp:category>EIZ</cp:category>
</cp:coreProperties>
</file>