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 , sídlo, IČO uchádzača  (doplniť)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44D4ED93" w:rsidR="00F87440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r w:rsidR="00A82E64">
        <w:rPr>
          <w:rFonts w:asciiTheme="minorHAnsi" w:hAnsiTheme="minorHAnsi" w:cstheme="minorHAnsi"/>
          <w:b/>
          <w:bCs/>
          <w:sz w:val="24"/>
          <w:szCs w:val="24"/>
        </w:rPr>
        <w:t>Minimalizačná sejačka</w:t>
      </w:r>
      <w:r w:rsidR="001B7488" w:rsidRPr="001B7488">
        <w:rPr>
          <w:rFonts w:asciiTheme="minorHAnsi" w:hAnsiTheme="minorHAnsi" w:cstheme="minorHAnsi"/>
          <w:sz w:val="24"/>
          <w:szCs w:val="24"/>
        </w:rPr>
        <w:t xml:space="preserve"> </w:t>
      </w:r>
      <w:r w:rsidR="001B7488">
        <w:rPr>
          <w:rFonts w:asciiTheme="minorHAnsi" w:hAnsiTheme="minorHAnsi" w:cstheme="minorHAnsi"/>
        </w:rPr>
        <w:t>,</w:t>
      </w:r>
      <w:r w:rsidR="00514EAA" w:rsidRPr="00514EAA">
        <w:rPr>
          <w:rFonts w:asciiTheme="minorHAnsi" w:hAnsiTheme="minorHAnsi"/>
          <w:b/>
          <w:sz w:val="32"/>
          <w:szCs w:val="32"/>
        </w:rPr>
        <w:t xml:space="preserve"> </w:t>
      </w:r>
      <w:r w:rsidR="006F5AD6">
        <w:rPr>
          <w:rFonts w:ascii="Arial" w:hAnsi="Arial" w:cs="Arial"/>
          <w:bCs/>
          <w:lang w:val="sk-SK"/>
        </w:rPr>
        <w:t xml:space="preserve">obstarávateľa </w:t>
      </w:r>
      <w:r w:rsidR="004E6785">
        <w:rPr>
          <w:rFonts w:ascii="Arial" w:hAnsi="Arial" w:cs="Arial"/>
          <w:bCs/>
          <w:lang w:val="sk-SK"/>
        </w:rPr>
        <w:t xml:space="preserve"> </w:t>
      </w:r>
      <w:r w:rsidR="00A82E64" w:rsidRPr="00A82E64">
        <w:rPr>
          <w:rFonts w:ascii="Arial" w:hAnsi="Arial" w:cs="Arial"/>
          <w:bCs/>
          <w:lang w:val="sk-SK"/>
        </w:rPr>
        <w:t>GRANELAM a.s., Ostrov 249, 922 01 Ostrov, IČO: 00208094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4EB4C23E" w14:textId="24DEB416" w:rsidR="001F4F25" w:rsidRPr="004975B2" w:rsidRDefault="001F4F25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prípade, ak na predmet zákazky nebude žiadny subdodávateľ, uchádzač uvedie Bez subdodávateľov. 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default" r:id="rId7"/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1556" w14:textId="288631DB" w:rsidR="00530823" w:rsidRDefault="00530823">
    <w:pPr>
      <w:pStyle w:val="Hlavika"/>
    </w:pPr>
    <w:r>
      <w:t xml:space="preserve">Príloha č.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1F4F25"/>
    <w:rsid w:val="0020115E"/>
    <w:rsid w:val="002370C4"/>
    <w:rsid w:val="002457CC"/>
    <w:rsid w:val="00255C06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0823"/>
    <w:rsid w:val="00535EF9"/>
    <w:rsid w:val="00553EA2"/>
    <w:rsid w:val="005E7B94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82E64"/>
    <w:rsid w:val="00A96416"/>
    <w:rsid w:val="00AB7671"/>
    <w:rsid w:val="00AE2001"/>
    <w:rsid w:val="00B6439E"/>
    <w:rsid w:val="00B74B8E"/>
    <w:rsid w:val="00B86BC6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Milan Michalička</cp:lastModifiedBy>
  <cp:revision>6</cp:revision>
  <cp:lastPrinted>2022-07-09T12:53:00Z</cp:lastPrinted>
  <dcterms:created xsi:type="dcterms:W3CDTF">2023-10-02T06:41:00Z</dcterms:created>
  <dcterms:modified xsi:type="dcterms:W3CDTF">2023-10-23T08:56:00Z</dcterms:modified>
</cp:coreProperties>
</file>