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zúčtovateľovi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0724D784" w14:textId="77777777" w:rsidR="008C222B" w:rsidRPr="00D5483B" w:rsidRDefault="008C222B" w:rsidP="008C222B">
      <w:pPr>
        <w:pStyle w:val="Odsekzoznamu"/>
        <w:ind w:left="709"/>
        <w:rPr>
          <w:rFonts w:ascii="Calibri" w:hAnsi="Calibri" w:cs="Calibri"/>
          <w:szCs w:val="20"/>
          <w:lang w:val="sk-SK"/>
        </w:rPr>
      </w:pPr>
    </w:p>
    <w:p w14:paraId="7D470F7F" w14:textId="4FCD791E" w:rsidR="008C222B" w:rsidRPr="00D5483B" w:rsidRDefault="008C222B" w:rsidP="008C222B">
      <w:pPr>
        <w:pStyle w:val="Odsekzoznamu"/>
        <w:ind w:left="709"/>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do Odberných miest vrátane prevzatia zodpovednosti za odchýlky voči zúčtovateľovi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r w:rsidRPr="00D5483B">
        <w:rPr>
          <w:rFonts w:ascii="Calibri" w:hAnsi="Calibri" w:cs="Calibri"/>
          <w:szCs w:val="20"/>
          <w:lang w:val="sk-SK"/>
        </w:rPr>
        <w:t>best practice</w:t>
      </w:r>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lastRenderedPageBreak/>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subjektom zúčtovania odchýlky účastníka trhu v zmysle Zákona o energetike alebo má uzatvorenú zmluvu so zúčtovateľom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w:t>
      </w:r>
      <w:r w:rsidRPr="00D5483B">
        <w:rPr>
          <w:rFonts w:ascii="Calibri" w:hAnsi="Calibri" w:cs="Calibri"/>
          <w:szCs w:val="20"/>
          <w:lang w:val="sk-SK"/>
        </w:rPr>
        <w:lastRenderedPageBreak/>
        <w:t>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Pr="00D5483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4B1FD990" w14:textId="77777777" w:rsidR="008C222B" w:rsidRPr="00D5483B" w:rsidRDefault="008C222B" w:rsidP="005213D0">
      <w:pPr>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64123388"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D5483B">
        <w:rPr>
          <w:rFonts w:ascii="Calibri" w:hAnsi="Calibri" w:cs="Calibri"/>
          <w:szCs w:val="20"/>
          <w:highlight w:val="lightGray"/>
          <w:lang w:val="sk-SK" w:eastAsia="de-DE"/>
        </w:rPr>
        <w:t>4.3.5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27E0C4F3" w14:textId="77777777" w:rsidR="008C222B" w:rsidRPr="00D5483B" w:rsidRDefault="008C222B" w:rsidP="008C222B">
      <w:pPr>
        <w:pStyle w:val="Odsekzoznamu"/>
        <w:ind w:left="709"/>
        <w:rPr>
          <w:rFonts w:ascii="Calibri" w:hAnsi="Calibri" w:cs="Calibri"/>
          <w:szCs w:val="20"/>
          <w:lang w:val="sk-SK"/>
        </w:rPr>
      </w:pPr>
    </w:p>
    <w:p w14:paraId="757A0FBE" w14:textId="77777777" w:rsidR="0081572E" w:rsidRPr="00D5483B" w:rsidRDefault="0081572E" w:rsidP="008C222B">
      <w:pPr>
        <w:pStyle w:val="Odsekzoznamu"/>
        <w:ind w:left="0"/>
        <w:jc w:val="center"/>
        <w:rPr>
          <w:rFonts w:ascii="Calibri" w:hAnsi="Calibri" w:cs="Calibri"/>
          <w:b/>
          <w:bCs/>
          <w:szCs w:val="20"/>
          <w:lang w:val="sk-SK"/>
        </w:rPr>
      </w:pPr>
    </w:p>
    <w:p w14:paraId="2D66CEFD" w14:textId="77777777" w:rsidR="0081572E" w:rsidRPr="00D5483B" w:rsidRDefault="0081572E" w:rsidP="008C222B">
      <w:pPr>
        <w:pStyle w:val="Odsekzoznamu"/>
        <w:ind w:left="0"/>
        <w:jc w:val="center"/>
        <w:rPr>
          <w:rFonts w:ascii="Calibri" w:hAnsi="Calibri" w:cs="Calibri"/>
          <w:b/>
          <w:bCs/>
          <w:szCs w:val="20"/>
          <w:lang w:val="sk-SK"/>
        </w:rPr>
      </w:pPr>
    </w:p>
    <w:p w14:paraId="3E668574" w14:textId="77777777" w:rsidR="0081572E" w:rsidRPr="00D5483B" w:rsidRDefault="0081572E" w:rsidP="008C222B">
      <w:pPr>
        <w:pStyle w:val="Odsekzoznamu"/>
        <w:ind w:left="0"/>
        <w:jc w:val="center"/>
        <w:rPr>
          <w:rFonts w:ascii="Calibri" w:hAnsi="Calibri" w:cs="Calibri"/>
          <w:b/>
          <w:bCs/>
          <w:szCs w:val="20"/>
          <w:lang w:val="sk-SK"/>
        </w:rPr>
      </w:pPr>
    </w:p>
    <w:p w14:paraId="511EE0B1" w14:textId="77777777" w:rsidR="009B2BEF" w:rsidRPr="00D5483B" w:rsidRDefault="009B2BEF">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lastRenderedPageBreak/>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45334C73"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7F4C6B">
        <w:rPr>
          <w:rFonts w:ascii="Calibri" w:hAnsi="Calibri" w:cs="Calibri"/>
          <w:szCs w:val="20"/>
          <w:lang w:val="sk-SK"/>
        </w:rPr>
        <w:t>4</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7F4C6B">
        <w:rPr>
          <w:rFonts w:ascii="Calibri" w:hAnsi="Calibri" w:cs="Calibri"/>
          <w:szCs w:val="20"/>
          <w:lang w:val="sk-SK"/>
        </w:rPr>
        <w:t>4</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567B7615"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w:t>
      </w:r>
      <w:r w:rsidR="007F4C6B">
        <w:rPr>
          <w:rFonts w:ascii="Calibri" w:hAnsi="Calibri" w:cs="Calibri"/>
          <w:szCs w:val="20"/>
          <w:lang w:val="sk-SK"/>
        </w:rPr>
        <w:t>3</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49D96E4B"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01.01.2023,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Predmetom je zabezpečenie dodávky elektriny, distribúcie elektriny do odberných miest Verejného obstarávateľa a prevzatie zodpovednosti za odchýlku v odberných miestach verejného obstarávateľa voči zúčtovateľovi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01.01.2024 – 31.12.2024</w:t>
      </w:r>
    </w:p>
    <w:p w14:paraId="4474451A" w14:textId="77777777" w:rsidR="00DB0BD1" w:rsidRPr="00DB0BD1" w:rsidRDefault="00DB0BD1" w:rsidP="00DB0BD1">
      <w:pPr>
        <w:jc w:val="both"/>
        <w:rPr>
          <w:rFonts w:ascii="Arial Narrow" w:hAnsi="Arial Narrow"/>
          <w:sz w:val="22"/>
          <w:lang w:val="sk-SK"/>
        </w:rPr>
      </w:pPr>
    </w:p>
    <w:p w14:paraId="3B8BCB31"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Predpokladaný odber:</w:t>
      </w:r>
      <w:r w:rsidRPr="00DB0BD1">
        <w:rPr>
          <w:rFonts w:ascii="Arial Narrow" w:hAnsi="Arial Narrow"/>
          <w:sz w:val="22"/>
          <w:lang w:val="sk-SK"/>
        </w:rPr>
        <w:tab/>
        <w:t>204,48 MWh</w:t>
      </w:r>
    </w:p>
    <w:p w14:paraId="7CFEDAFB" w14:textId="77777777" w:rsidR="00DB0BD1" w:rsidRPr="00DB0BD1" w:rsidRDefault="00DB0BD1" w:rsidP="00DB0BD1">
      <w:pPr>
        <w:jc w:val="both"/>
        <w:rPr>
          <w:rFonts w:ascii="Arial Narrow" w:hAnsi="Arial Narrow"/>
          <w:sz w:val="22"/>
          <w:lang w:val="sk-SK"/>
        </w:rPr>
      </w:pPr>
    </w:p>
    <w:p w14:paraId="5823DA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Tabuľka 1 – Zoznam Odberateľov, Typ merania, Predpokladaný odber</w:t>
      </w:r>
    </w:p>
    <w:tbl>
      <w:tblPr>
        <w:tblStyle w:val="Mriekatabuky1"/>
        <w:tblW w:w="0" w:type="auto"/>
        <w:jc w:val="center"/>
        <w:tblLook w:val="04A0" w:firstRow="1" w:lastRow="0" w:firstColumn="1" w:lastColumn="0" w:noHBand="0" w:noVBand="1"/>
      </w:tblPr>
      <w:tblGrid>
        <w:gridCol w:w="1413"/>
        <w:gridCol w:w="2268"/>
        <w:gridCol w:w="2410"/>
        <w:gridCol w:w="2409"/>
      </w:tblGrid>
      <w:tr w:rsidR="00DB0BD1" w:rsidRPr="00DB0BD1" w14:paraId="4DA5B324" w14:textId="77777777" w:rsidTr="00C5752F">
        <w:trPr>
          <w:jc w:val="center"/>
        </w:trPr>
        <w:tc>
          <w:tcPr>
            <w:tcW w:w="1413" w:type="dxa"/>
            <w:vAlign w:val="center"/>
          </w:tcPr>
          <w:p w14:paraId="7287074F"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Typ merania</w:t>
            </w:r>
          </w:p>
        </w:tc>
        <w:tc>
          <w:tcPr>
            <w:tcW w:w="2268" w:type="dxa"/>
            <w:vAlign w:val="center"/>
          </w:tcPr>
          <w:p w14:paraId="413064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Počet odberných miest</w:t>
            </w:r>
          </w:p>
        </w:tc>
        <w:tc>
          <w:tcPr>
            <w:tcW w:w="2410" w:type="dxa"/>
            <w:vAlign w:val="center"/>
          </w:tcPr>
          <w:p w14:paraId="787C08D6"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Predpokladaný odber (MWh)</w:t>
            </w:r>
          </w:p>
        </w:tc>
        <w:tc>
          <w:tcPr>
            <w:tcW w:w="2409" w:type="dxa"/>
            <w:vAlign w:val="center"/>
          </w:tcPr>
          <w:p w14:paraId="496BF5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 z celkového odberu Odberateľa</w:t>
            </w:r>
          </w:p>
        </w:tc>
      </w:tr>
      <w:tr w:rsidR="00DB0BD1" w:rsidRPr="00DB0BD1" w14:paraId="15B4D81E" w14:textId="77777777" w:rsidTr="00C5752F">
        <w:trPr>
          <w:jc w:val="center"/>
        </w:trPr>
        <w:tc>
          <w:tcPr>
            <w:tcW w:w="1413" w:type="dxa"/>
          </w:tcPr>
          <w:p w14:paraId="68D652BA"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A</w:t>
            </w:r>
          </w:p>
        </w:tc>
        <w:tc>
          <w:tcPr>
            <w:tcW w:w="2268" w:type="dxa"/>
          </w:tcPr>
          <w:p w14:paraId="0130A3EF"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11</w:t>
            </w:r>
          </w:p>
        </w:tc>
        <w:tc>
          <w:tcPr>
            <w:tcW w:w="2410" w:type="dxa"/>
          </w:tcPr>
          <w:p w14:paraId="420DACB0"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183,68</w:t>
            </w:r>
          </w:p>
        </w:tc>
        <w:tc>
          <w:tcPr>
            <w:tcW w:w="2409" w:type="dxa"/>
          </w:tcPr>
          <w:p w14:paraId="21A6C3DE"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89,82</w:t>
            </w:r>
          </w:p>
        </w:tc>
      </w:tr>
      <w:tr w:rsidR="00DB0BD1" w:rsidRPr="00DB0BD1" w14:paraId="158A9268" w14:textId="77777777" w:rsidTr="00C5752F">
        <w:trPr>
          <w:jc w:val="center"/>
        </w:trPr>
        <w:tc>
          <w:tcPr>
            <w:tcW w:w="1413" w:type="dxa"/>
          </w:tcPr>
          <w:p w14:paraId="55D3C0C7"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C</w:t>
            </w:r>
          </w:p>
        </w:tc>
        <w:tc>
          <w:tcPr>
            <w:tcW w:w="2268" w:type="dxa"/>
          </w:tcPr>
          <w:p w14:paraId="37976FE1"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8</w:t>
            </w:r>
          </w:p>
        </w:tc>
        <w:tc>
          <w:tcPr>
            <w:tcW w:w="2410" w:type="dxa"/>
          </w:tcPr>
          <w:p w14:paraId="47ABDF8F"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 xml:space="preserve"> 20,80</w:t>
            </w:r>
          </w:p>
        </w:tc>
        <w:tc>
          <w:tcPr>
            <w:tcW w:w="2409" w:type="dxa"/>
          </w:tcPr>
          <w:p w14:paraId="27AC3C1B"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10,18</w:t>
            </w:r>
          </w:p>
        </w:tc>
      </w:tr>
      <w:tr w:rsidR="00DB0BD1" w:rsidRPr="00DB0BD1" w14:paraId="21A13F05" w14:textId="77777777" w:rsidTr="00C5752F">
        <w:trPr>
          <w:jc w:val="center"/>
        </w:trPr>
        <w:tc>
          <w:tcPr>
            <w:tcW w:w="1413" w:type="dxa"/>
          </w:tcPr>
          <w:p w14:paraId="001F54E9" w14:textId="77777777" w:rsidR="00DB0BD1" w:rsidRPr="00DB0BD1" w:rsidRDefault="00DB0BD1" w:rsidP="00DB0BD1">
            <w:pPr>
              <w:jc w:val="center"/>
              <w:rPr>
                <w:rFonts w:ascii="Arial Narrow" w:hAnsi="Arial Narrow"/>
                <w:sz w:val="22"/>
                <w:lang w:val="sk-SK"/>
              </w:rPr>
            </w:pPr>
            <w:r w:rsidRPr="00DB0BD1">
              <w:rPr>
                <w:rFonts w:ascii="Arial Narrow" w:hAnsi="Arial Narrow"/>
                <w:b/>
                <w:bCs/>
                <w:sz w:val="22"/>
                <w:lang w:val="sk-SK"/>
              </w:rPr>
              <w:t>Spolu</w:t>
            </w:r>
          </w:p>
        </w:tc>
        <w:tc>
          <w:tcPr>
            <w:tcW w:w="2268" w:type="dxa"/>
          </w:tcPr>
          <w:p w14:paraId="4D0919CE"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19</w:t>
            </w:r>
          </w:p>
        </w:tc>
        <w:tc>
          <w:tcPr>
            <w:tcW w:w="2410" w:type="dxa"/>
          </w:tcPr>
          <w:p w14:paraId="712FBF4A"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204,48</w:t>
            </w:r>
          </w:p>
        </w:tc>
        <w:tc>
          <w:tcPr>
            <w:tcW w:w="2409" w:type="dxa"/>
          </w:tcPr>
          <w:p w14:paraId="4FCA5EBC" w14:textId="77777777" w:rsidR="00DB0BD1" w:rsidRPr="00DB0BD1" w:rsidRDefault="00DB0BD1" w:rsidP="00DB0BD1">
            <w:pPr>
              <w:jc w:val="center"/>
              <w:rPr>
                <w:rFonts w:ascii="Arial Narrow" w:hAnsi="Arial Narrow"/>
                <w:sz w:val="22"/>
                <w:lang w:val="sk-SK"/>
              </w:rPr>
            </w:pPr>
            <w:r w:rsidRPr="00DB0BD1">
              <w:rPr>
                <w:rFonts w:ascii="Arial Narrow" w:hAnsi="Arial Narrow"/>
                <w:sz w:val="22"/>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priebehové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B - priebehové meranie bez možnosti diaľkového odpočtu, </w:t>
      </w:r>
    </w:p>
    <w:p w14:paraId="036F61D6"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C - meranie bez priebehového merania a bez možnosti diaľkového odpočtu. </w:t>
      </w:r>
    </w:p>
    <w:p w14:paraId="6308EE9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68B5D1E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2242437E"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r w:rsidRPr="00DB0BD1">
        <w:rPr>
          <w:rFonts w:ascii="Calibri" w:hAnsi="Calibri" w:cs="Calibri"/>
          <w:szCs w:val="20"/>
          <w:lang w:val="sk-SK" w:eastAsia="sk-SK"/>
        </w:rPr>
        <w:t>Podrobný zoznam odberných miest jednotlivých verejných obstarávateľov je uvedený v prílohe č. 2. - 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0CB8FE9C" w14:textId="77777777" w:rsidR="008C222B" w:rsidRPr="00D5483B" w:rsidRDefault="008C222B" w:rsidP="008C222B">
      <w:pPr>
        <w:rPr>
          <w:rFonts w:ascii="Calibri" w:hAnsi="Calibri" w:cs="Calibri"/>
          <w:b/>
          <w:bCs/>
          <w:szCs w:val="20"/>
          <w:lang w:val="sk-SK"/>
        </w:rPr>
      </w:pP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4E70536B" w14:textId="7364FE57"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lastRenderedPageBreak/>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Odsekzoznamu"/>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Odsekzoznamu"/>
        <w:ind w:left="0"/>
        <w:jc w:val="both"/>
        <w:rPr>
          <w:rFonts w:ascii="Calibri" w:hAnsi="Calibri" w:cs="Calibri"/>
          <w:szCs w:val="20"/>
          <w:lang w:val="sk-SK"/>
        </w:rPr>
      </w:pPr>
    </w:p>
    <w:bookmarkEnd w:id="18"/>
    <w:p w14:paraId="2AB8742A" w14:textId="35A0C22D" w:rsidR="00EB7B07" w:rsidRPr="00D5483B" w:rsidRDefault="00EB7B07"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40"/>
        <w:gridCol w:w="2977"/>
      </w:tblGrid>
      <w:tr w:rsidR="00DB0BD1" w:rsidRPr="000C494C" w14:paraId="68882CE7" w14:textId="77777777" w:rsidTr="00C5752F">
        <w:trPr>
          <w:jc w:val="center"/>
        </w:trPr>
        <w:tc>
          <w:tcPr>
            <w:tcW w:w="5240" w:type="dxa"/>
            <w:shd w:val="clear" w:color="auto" w:fill="F2F2F2" w:themeFill="background1" w:themeFillShade="F2"/>
            <w:vAlign w:val="center"/>
          </w:tcPr>
          <w:p w14:paraId="79674D76" w14:textId="77777777" w:rsidR="00DB0BD1" w:rsidRPr="00F11110" w:rsidRDefault="00DB0BD1" w:rsidP="00C5752F">
            <w:pPr>
              <w:rPr>
                <w:rFonts w:ascii="Arial Narrow" w:hAnsi="Arial Narrow"/>
                <w:b/>
                <w:bCs/>
                <w:lang w:val="sk-SK"/>
              </w:rPr>
            </w:pPr>
            <w:bookmarkStart w:id="22" w:name="_Hlk103841749"/>
            <w:r w:rsidRPr="00F11110">
              <w:rPr>
                <w:rFonts w:ascii="Arial Narrow" w:hAnsi="Arial Narrow"/>
                <w:b/>
                <w:bCs/>
                <w:lang w:val="sk-SK"/>
              </w:rPr>
              <w:t>Špecifikácia ceny</w:t>
            </w:r>
          </w:p>
        </w:tc>
        <w:tc>
          <w:tcPr>
            <w:tcW w:w="2977" w:type="dxa"/>
            <w:shd w:val="clear" w:color="auto" w:fill="F2F2F2" w:themeFill="background1" w:themeFillShade="F2"/>
            <w:vAlign w:val="center"/>
          </w:tcPr>
          <w:p w14:paraId="0B139FD5" w14:textId="77777777" w:rsidR="00DB0BD1" w:rsidRDefault="00DB0BD1" w:rsidP="00C5752F">
            <w:pPr>
              <w:jc w:val="center"/>
              <w:rPr>
                <w:rFonts w:ascii="Arial Narrow" w:hAnsi="Arial Narrow"/>
                <w:b/>
                <w:bCs/>
                <w:lang w:val="sk-SK"/>
              </w:rPr>
            </w:pPr>
            <w:r w:rsidRPr="00F11110">
              <w:rPr>
                <w:rFonts w:ascii="Arial Narrow" w:hAnsi="Arial Narrow"/>
                <w:b/>
                <w:bCs/>
                <w:lang w:val="sk-SK"/>
              </w:rPr>
              <w:t xml:space="preserve">Jednotková cena </w:t>
            </w:r>
            <w:r>
              <w:rPr>
                <w:rFonts w:ascii="Arial Narrow" w:hAnsi="Arial Narrow"/>
                <w:b/>
                <w:bCs/>
                <w:lang w:val="sk-SK"/>
              </w:rPr>
              <w:t>aditíva</w:t>
            </w:r>
          </w:p>
          <w:p w14:paraId="0AE75A84" w14:textId="77777777" w:rsidR="00DB0BD1" w:rsidRPr="00F11110" w:rsidRDefault="00DB0BD1"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DB0BD1" w:rsidRPr="000C494C" w14:paraId="46E7DD54" w14:textId="77777777" w:rsidTr="00C5752F">
        <w:trPr>
          <w:trHeight w:val="443"/>
          <w:jc w:val="center"/>
        </w:trPr>
        <w:tc>
          <w:tcPr>
            <w:tcW w:w="5240" w:type="dxa"/>
            <w:vAlign w:val="center"/>
          </w:tcPr>
          <w:p w14:paraId="4B2F878A" w14:textId="77777777" w:rsidR="00DB0BD1" w:rsidRPr="00F11110" w:rsidRDefault="00DB0BD1"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977" w:type="dxa"/>
          </w:tcPr>
          <w:p w14:paraId="796F8901" w14:textId="77777777" w:rsidR="00DB0BD1" w:rsidRPr="00F11110" w:rsidRDefault="00DB0BD1" w:rsidP="00C5752F">
            <w:pPr>
              <w:jc w:val="center"/>
              <w:rPr>
                <w:rFonts w:ascii="Arial Narrow" w:hAnsi="Arial Narrow"/>
                <w:b/>
                <w:bCs/>
                <w:lang w:val="sk-SK"/>
              </w:rPr>
            </w:pPr>
          </w:p>
        </w:tc>
      </w:tr>
      <w:bookmarkEnd w:id="22"/>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3"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3"/>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0C494C"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0C494C" w14:paraId="3313A087"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shd w:val="clear" w:color="auto" w:fill="auto"/>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shd w:val="clear" w:color="auto" w:fill="auto"/>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24"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25"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5"/>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6"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6"/>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2C97697A"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7"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7"/>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r w:rsidR="0054001E" w:rsidRPr="00D5483B">
        <w:rPr>
          <w:rFonts w:cs="Calibri"/>
          <w:color w:val="000000"/>
          <w:szCs w:val="20"/>
          <w:lang w:val="sk-SK" w:eastAsia="cs-CZ" w:bidi="cs-CZ"/>
        </w:rPr>
        <w:t xml:space="preserve">t.j.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0950721C"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do 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5EAE9923"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4"/>
      <w:r w:rsidR="002C151A" w:rsidRPr="00D5483B">
        <w:rPr>
          <w:rFonts w:cs="Calibri"/>
          <w:szCs w:val="20"/>
          <w:lang w:val="sk-SK"/>
        </w:rPr>
        <w:t>.</w:t>
      </w:r>
      <w:r w:rsidR="00317B71" w:rsidRPr="00D5483B">
        <w:rPr>
          <w:rFonts w:cs="Calibri"/>
          <w:color w:val="FF0000"/>
          <w:szCs w:val="20"/>
          <w:lang w:val="sk-SK"/>
        </w:rPr>
        <w:t xml:space="preserve"> </w:t>
      </w:r>
      <w:bookmarkStart w:id="28"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9"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8"/>
      <w:bookmarkEnd w:id="29"/>
    </w:p>
    <w:p w14:paraId="3D8E706D" w14:textId="14C7198A"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30"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D5483B">
        <w:rPr>
          <w:rFonts w:cs="Calibri"/>
          <w:noProof/>
          <w:szCs w:val="20"/>
          <w:lang w:val="sk-SK" w:eastAsia="cs-CZ" w:bidi="cs-CZ"/>
        </w:rPr>
        <w:t>1</w:t>
      </w:r>
      <w:r w:rsidRPr="00D5483B">
        <w:rPr>
          <w:rFonts w:cs="Calibri"/>
          <w:szCs w:val="20"/>
          <w:lang w:val="sk-SK" w:eastAsia="cs-CZ" w:bidi="cs-CZ"/>
        </w:rPr>
        <w:fldChar w:fldCharType="end"/>
      </w:r>
      <w:bookmarkStart w:id="31" w:name="_Ref115343337"/>
      <w:r w:rsidRPr="00D5483B">
        <w:rPr>
          <w:rFonts w:cs="Calibri"/>
          <w:szCs w:val="20"/>
          <w:lang w:val="sk-SK" w:eastAsia="cs-CZ" w:bidi="cs-CZ"/>
        </w:rPr>
        <w:t xml:space="preserve"> - Prehľad Preddavkov</w:t>
      </w:r>
      <w:bookmarkEnd w:id="30"/>
      <w:bookmarkEnd w:id="3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1"/>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18"/>
  </w:num>
  <w:num w:numId="2" w16cid:durableId="188448308">
    <w:abstractNumId w:val="23"/>
  </w:num>
  <w:num w:numId="3" w16cid:durableId="773551550">
    <w:abstractNumId w:val="5"/>
  </w:num>
  <w:num w:numId="4" w16cid:durableId="1414015038">
    <w:abstractNumId w:val="1"/>
  </w:num>
  <w:num w:numId="5" w16cid:durableId="188302564">
    <w:abstractNumId w:val="11"/>
  </w:num>
  <w:num w:numId="6" w16cid:durableId="653678443">
    <w:abstractNumId w:val="10"/>
  </w:num>
  <w:num w:numId="7" w16cid:durableId="1355768912">
    <w:abstractNumId w:val="22"/>
  </w:num>
  <w:num w:numId="8" w16cid:durableId="202838677">
    <w:abstractNumId w:val="26"/>
  </w:num>
  <w:num w:numId="9" w16cid:durableId="294064600">
    <w:abstractNumId w:val="25"/>
  </w:num>
  <w:num w:numId="10" w16cid:durableId="1353536655">
    <w:abstractNumId w:val="17"/>
  </w:num>
  <w:num w:numId="11" w16cid:durableId="1114596022">
    <w:abstractNumId w:val="20"/>
  </w:num>
  <w:num w:numId="12" w16cid:durableId="2029019473">
    <w:abstractNumId w:val="6"/>
  </w:num>
  <w:num w:numId="13" w16cid:durableId="1729376544">
    <w:abstractNumId w:val="7"/>
  </w:num>
  <w:num w:numId="14" w16cid:durableId="662271022">
    <w:abstractNumId w:val="13"/>
  </w:num>
  <w:num w:numId="15" w16cid:durableId="10497414">
    <w:abstractNumId w:val="9"/>
  </w:num>
  <w:num w:numId="16" w16cid:durableId="1055469740">
    <w:abstractNumId w:val="24"/>
  </w:num>
  <w:num w:numId="17" w16cid:durableId="245305785">
    <w:abstractNumId w:val="15"/>
  </w:num>
  <w:num w:numId="18" w16cid:durableId="777531245">
    <w:abstractNumId w:val="3"/>
  </w:num>
  <w:num w:numId="19" w16cid:durableId="298536685">
    <w:abstractNumId w:val="21"/>
  </w:num>
  <w:num w:numId="20" w16cid:durableId="698505989">
    <w:abstractNumId w:val="14"/>
  </w:num>
  <w:num w:numId="21" w16cid:durableId="1598096749">
    <w:abstractNumId w:val="4"/>
  </w:num>
  <w:num w:numId="22" w16cid:durableId="1537815857">
    <w:abstractNumId w:val="19"/>
  </w:num>
  <w:num w:numId="23" w16cid:durableId="195235842">
    <w:abstractNumId w:val="0"/>
  </w:num>
  <w:num w:numId="24" w16cid:durableId="238487198">
    <w:abstractNumId w:val="28"/>
  </w:num>
  <w:num w:numId="25" w16cid:durableId="2006276063">
    <w:abstractNumId w:val="27"/>
  </w:num>
  <w:num w:numId="26" w16cid:durableId="705178451">
    <w:abstractNumId w:val="12"/>
  </w:num>
  <w:num w:numId="27" w16cid:durableId="1742363860">
    <w:abstractNumId w:val="16"/>
  </w:num>
  <w:num w:numId="28" w16cid:durableId="2013989724">
    <w:abstractNumId w:val="2"/>
  </w:num>
  <w:num w:numId="29" w16cid:durableId="67148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3651B"/>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50B3E"/>
    <w:rsid w:val="00651ED6"/>
    <w:rsid w:val="0067774B"/>
    <w:rsid w:val="00697951"/>
    <w:rsid w:val="006B5842"/>
    <w:rsid w:val="006E184A"/>
    <w:rsid w:val="006E2755"/>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7F4C6B"/>
    <w:rsid w:val="0081572E"/>
    <w:rsid w:val="008453D3"/>
    <w:rsid w:val="008C222B"/>
    <w:rsid w:val="008E4C71"/>
    <w:rsid w:val="00902695"/>
    <w:rsid w:val="0093743F"/>
    <w:rsid w:val="00955A24"/>
    <w:rsid w:val="00967096"/>
    <w:rsid w:val="00976AED"/>
    <w:rsid w:val="009771A5"/>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5242</Words>
  <Characters>29884</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Veronika Sestakova</cp:lastModifiedBy>
  <cp:revision>10</cp:revision>
  <dcterms:created xsi:type="dcterms:W3CDTF">2022-10-03T07:07:00Z</dcterms:created>
  <dcterms:modified xsi:type="dcterms:W3CDTF">2023-10-24T11:09:00Z</dcterms:modified>
</cp:coreProperties>
</file>