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3844341"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315A03">
        <w:rPr>
          <w:rFonts w:cs="Arial"/>
          <w:sz w:val="24"/>
          <w:szCs w:val="24"/>
        </w:rPr>
        <w:t>4</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B20929">
        <w:rPr>
          <w:rFonts w:cs="Arial"/>
          <w:sz w:val="24"/>
          <w:szCs w:val="24"/>
        </w:rPr>
        <w:t>1</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1A9F79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sidRPr="00315A03">
        <w:rPr>
          <w:rFonts w:ascii="Arial" w:hAnsi="Arial" w:cs="Arial"/>
          <w:b/>
          <w:sz w:val="20"/>
          <w:lang w:val="sk-SK"/>
        </w:rPr>
        <w:t xml:space="preserve">Organizačnej zložke </w:t>
      </w:r>
      <w:r w:rsidRPr="00315A03">
        <w:rPr>
          <w:rFonts w:ascii="Arial" w:hAnsi="Arial" w:cs="Arial"/>
          <w:b/>
          <w:sz w:val="20"/>
          <w:lang w:val="sk-SK"/>
        </w:rPr>
        <w:t xml:space="preserve">OZ </w:t>
      </w:r>
      <w:r w:rsidR="001140A7" w:rsidRPr="00315A03">
        <w:rPr>
          <w:rFonts w:ascii="Arial" w:hAnsi="Arial" w:cs="Arial"/>
          <w:b/>
          <w:sz w:val="20"/>
          <w:lang w:val="sk-SK"/>
        </w:rPr>
        <w:t>Poľana</w:t>
      </w:r>
      <w:r w:rsidRPr="00315A03">
        <w:rPr>
          <w:rFonts w:ascii="Arial" w:hAnsi="Arial" w:cs="Arial"/>
          <w:b/>
          <w:sz w:val="20"/>
          <w:lang w:val="sk-SK"/>
        </w:rPr>
        <w:t xml:space="preserve">, </w:t>
      </w:r>
      <w:r w:rsidR="00C34249" w:rsidRPr="00315A03">
        <w:rPr>
          <w:rFonts w:ascii="Arial" w:hAnsi="Arial" w:cs="Arial"/>
          <w:b/>
          <w:sz w:val="20"/>
          <w:lang w:val="sk-SK"/>
        </w:rPr>
        <w:t xml:space="preserve">LS </w:t>
      </w:r>
      <w:r w:rsidR="00315A03" w:rsidRPr="00315A03">
        <w:rPr>
          <w:rFonts w:ascii="Arial" w:hAnsi="Arial" w:cs="Arial"/>
          <w:b/>
          <w:sz w:val="20"/>
          <w:lang w:val="sk-SK"/>
        </w:rPr>
        <w:t>Lučenec</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DD8A336"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315A03">
        <w:rPr>
          <w:rFonts w:ascii="Arial" w:hAnsi="Arial" w:cs="Arial"/>
          <w:b/>
          <w:sz w:val="20"/>
          <w:lang w:val="sk-SK"/>
        </w:rPr>
        <w:t>0</w:t>
      </w:r>
      <w:r w:rsidR="009D0258" w:rsidRPr="00BD634B">
        <w:rPr>
          <w:rFonts w:ascii="Arial" w:hAnsi="Arial" w:cs="Arial"/>
          <w:b/>
          <w:sz w:val="20"/>
          <w:lang w:val="sk-SK"/>
        </w:rPr>
        <w:t>.</w:t>
      </w:r>
      <w:r w:rsidR="005A22D1">
        <w:rPr>
          <w:rFonts w:ascii="Arial" w:hAnsi="Arial" w:cs="Arial"/>
          <w:b/>
          <w:sz w:val="20"/>
          <w:lang w:val="sk-SK"/>
        </w:rPr>
        <w:t>6</w:t>
      </w:r>
      <w:bookmarkStart w:id="0" w:name="_GoBack"/>
      <w:bookmarkEnd w:id="0"/>
      <w:r w:rsidR="009D0258" w:rsidRPr="00BD634B">
        <w:rPr>
          <w:rFonts w:ascii="Arial" w:hAnsi="Arial" w:cs="Arial"/>
          <w:b/>
          <w:sz w:val="20"/>
          <w:lang w:val="sk-SK"/>
        </w:rPr>
        <w:t>.202</w:t>
      </w:r>
      <w:r w:rsidR="00315A03">
        <w:rPr>
          <w:rFonts w:ascii="Arial" w:hAnsi="Arial" w:cs="Arial"/>
          <w:b/>
          <w:sz w:val="20"/>
          <w:lang w:val="sk-SK"/>
        </w:rPr>
        <w:t>4</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46D71FB5" w:rsidR="0070009F" w:rsidRPr="003C4894" w:rsidRDefault="0070009F" w:rsidP="00315A03">
            <w:pPr>
              <w:pStyle w:val="Bezriadkovania"/>
              <w:rPr>
                <w:rFonts w:ascii="Arial" w:hAnsi="Arial" w:cs="Arial"/>
                <w:sz w:val="20"/>
                <w:lang w:val="sk-SK"/>
              </w:rPr>
            </w:pPr>
            <w:r w:rsidRPr="002C5EFD">
              <w:rPr>
                <w:rFonts w:ascii="Arial" w:hAnsi="Arial" w:cs="Arial"/>
                <w:sz w:val="20"/>
                <w:lang w:val="sk-SK"/>
              </w:rPr>
              <w:t>V</w:t>
            </w:r>
            <w:r w:rsidR="00315A03">
              <w:rPr>
                <w:rFonts w:ascii="Arial" w:hAnsi="Arial" w:cs="Arial"/>
                <w:sz w:val="20"/>
                <w:lang w:val="sk-SK"/>
              </w:rPr>
              <w:t> Kriváni,</w:t>
            </w:r>
            <w:r w:rsidR="002C5EFD">
              <w:rPr>
                <w:rFonts w:ascii="Arial" w:hAnsi="Arial" w:cs="Arial"/>
                <w:sz w:val="20"/>
                <w:lang w:val="sk-SK"/>
              </w:rPr>
              <w:t xml:space="preserve"> dňa</w:t>
            </w:r>
            <w:r w:rsidR="00315A03">
              <w:rPr>
                <w:rFonts w:ascii="Arial" w:hAnsi="Arial" w:cs="Arial"/>
                <w:sz w:val="20"/>
                <w:lang w:val="sk-SK"/>
              </w:rPr>
              <w:t>....................</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3D385FD" w:rsidR="001140A7" w:rsidRPr="00315A03" w:rsidRDefault="00315A03" w:rsidP="002C5EFD">
            <w:pPr>
              <w:tabs>
                <w:tab w:val="left" w:pos="709"/>
                <w:tab w:val="left" w:pos="5387"/>
              </w:tabs>
              <w:spacing w:after="0"/>
              <w:jc w:val="center"/>
              <w:rPr>
                <w:rFonts w:eastAsia="Calibri" w:cs="Arial"/>
                <w:b/>
                <w:szCs w:val="20"/>
              </w:rPr>
            </w:pPr>
            <w:r w:rsidRPr="00315A03">
              <w:rPr>
                <w:rFonts w:eastAsia="Calibri" w:cs="Arial"/>
                <w:b/>
                <w:szCs w:val="20"/>
              </w:rPr>
              <w:t>Ing. Ján Sokol</w:t>
            </w: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330B" w14:textId="77777777" w:rsidR="00267E2A" w:rsidRDefault="00267E2A">
      <w:r>
        <w:separator/>
      </w:r>
    </w:p>
  </w:endnote>
  <w:endnote w:type="continuationSeparator" w:id="0">
    <w:p w14:paraId="4F389620" w14:textId="77777777" w:rsidR="00267E2A" w:rsidRDefault="0026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DF561AF" w:rsidR="00FA6CE6" w:rsidRDefault="00FA6CE6">
        <w:pPr>
          <w:pStyle w:val="Pta"/>
          <w:jc w:val="right"/>
        </w:pPr>
        <w:r>
          <w:fldChar w:fldCharType="begin"/>
        </w:r>
        <w:r>
          <w:instrText>PAGE   \* MERGEFORMAT</w:instrText>
        </w:r>
        <w:r>
          <w:fldChar w:fldCharType="separate"/>
        </w:r>
        <w:r w:rsidR="005A22D1">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7654" w14:textId="77777777" w:rsidR="00267E2A" w:rsidRDefault="00267E2A">
      <w:r>
        <w:separator/>
      </w:r>
    </w:p>
  </w:footnote>
  <w:footnote w:type="continuationSeparator" w:id="0">
    <w:p w14:paraId="4B326E89" w14:textId="77777777" w:rsidR="00267E2A" w:rsidRDefault="0026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67E2A"/>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A03"/>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6E31"/>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429"/>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2D1"/>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276"/>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18E"/>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92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1E91-E1F1-4EE6-95F6-2C28D91F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5134</Words>
  <Characters>29266</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16</cp:revision>
  <cp:lastPrinted>2020-05-15T08:49:00Z</cp:lastPrinted>
  <dcterms:created xsi:type="dcterms:W3CDTF">2022-04-13T05:29:00Z</dcterms:created>
  <dcterms:modified xsi:type="dcterms:W3CDTF">2023-10-25T05:50:00Z</dcterms:modified>
</cp:coreProperties>
</file>