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4FFF2CD" w14:textId="77777777" w:rsidR="00AA7BE0" w:rsidRDefault="00AA7BE0" w:rsidP="00AA7BE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5A126E26" w14:textId="77777777" w:rsidR="00AA7BE0" w:rsidRPr="00755471" w:rsidRDefault="00AA7BE0" w:rsidP="00AA7BE0">
      <w:pPr>
        <w:pStyle w:val="Odsekzoznamu"/>
        <w:spacing w:after="200" w:line="276" w:lineRule="auto"/>
        <w:ind w:left="681"/>
        <w:jc w:val="both"/>
        <w:rPr>
          <w:rFonts w:ascii="Arial Narrow" w:eastAsia="Arial" w:hAnsi="Arial Narrow"/>
          <w:noProof/>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8E14CA">
        <w:rPr>
          <w:rFonts w:ascii="Arial Narrow" w:eastAsia="Arial" w:hAnsi="Arial Narrow"/>
          <w:b/>
          <w:color w:val="0070C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8E14CA">
        <w:rPr>
          <w:rFonts w:ascii="Arial Narrow" w:eastAsia="Arial" w:hAnsi="Arial Narrow"/>
          <w:b/>
          <w:color w:val="0070C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8E14CA">
        <w:rPr>
          <w:rFonts w:ascii="Arial Narrow" w:eastAsia="Arial" w:hAnsi="Arial Narrow"/>
          <w:b/>
          <w:color w:val="0070C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7777777"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77777777"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91CAF90" w14:textId="77777777" w:rsidR="00AA7BE0" w:rsidRPr="00755471" w:rsidRDefault="00AA7BE0" w:rsidP="00AA7BE0">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65AD4FB" w14:textId="6238CD20"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382231A5" w14:textId="77777777" w:rsidR="00AA7BE0" w:rsidRDefault="00AA7BE0" w:rsidP="00E9222B">
      <w:pPr>
        <w:widowControl w:val="0"/>
        <w:tabs>
          <w:tab w:val="left" w:pos="0"/>
        </w:tabs>
        <w:spacing w:after="120" w:line="240" w:lineRule="exact"/>
        <w:jc w:val="both"/>
        <w:rPr>
          <w:rFonts w:ascii="Arial Narrow" w:hAnsi="Arial Narrow"/>
          <w:b/>
          <w:shd w:val="clear" w:color="auto" w:fill="FFFFFF"/>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5ABE52CA" w14:textId="77777777" w:rsidR="00E9222B" w:rsidRPr="00FC70A5"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27B0133" w14:textId="77777777" w:rsidR="00FC70A5" w:rsidRDefault="00F14DE1" w:rsidP="00F14DE1">
      <w:pPr>
        <w:spacing w:after="0" w:line="240" w:lineRule="auto"/>
        <w:jc w:val="both"/>
        <w:rPr>
          <w:rFonts w:ascii="Arial Narrow" w:hAnsi="Arial Narrow"/>
        </w:rPr>
      </w:pPr>
      <w:r>
        <w:rPr>
          <w:rFonts w:ascii="Arial Narrow" w:hAnsi="Arial Narrow"/>
          <w:bCs/>
        </w:rPr>
        <w:t>Nepožaduje sa.</w:t>
      </w: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77777777"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57EEB33" w14:textId="77777777" w:rsidR="00AA7BE0" w:rsidRPr="008E14CA" w:rsidRDefault="00AA7BE0" w:rsidP="00AA7BE0">
      <w:pPr>
        <w:spacing w:before="120" w:after="0" w:line="240" w:lineRule="auto"/>
        <w:jc w:val="both"/>
        <w:rPr>
          <w:rFonts w:ascii="Arial Narrow" w:hAnsi="Arial Narrow"/>
          <w:color w:val="0070C0"/>
          <w:lang w:eastAsia="sk-SK"/>
        </w:rPr>
      </w:pPr>
      <w:bookmarkStart w:id="0" w:name="_GoBack"/>
      <w:r w:rsidRPr="008E14CA">
        <w:rPr>
          <w:rFonts w:ascii="Arial Narrow" w:hAnsi="Arial Narrow"/>
          <w:color w:val="0070C0"/>
          <w:lang w:eastAsia="sk-SK"/>
        </w:rPr>
        <w:t>Verejný obstarávateľ umožňuje vyplniť oddiel α Globálny údaj pre všetky podmienky účasti časti IV. Hospodársky subjekt.</w:t>
      </w:r>
    </w:p>
    <w:bookmarkEnd w:id="0"/>
    <w:p w14:paraId="3E3F96A3" w14:textId="1E4FB6D3" w:rsidR="00AF7F2F" w:rsidRPr="00AA7BE0" w:rsidRDefault="00AA7BE0" w:rsidP="00AA7BE0">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Pr>
          <w:rFonts w:ascii="Arial Narrow" w:hAnsi="Arial Narrow" w:cs="Arial Narrow"/>
        </w:rPr>
        <w:t xml:space="preserve">elektronický </w:t>
      </w:r>
      <w:r w:rsidRPr="00F73CE5">
        <w:rPr>
          <w:rFonts w:ascii="Arial Narrow" w:hAnsi="Arial Narrow" w:cs="Arial Narrow"/>
        </w:rPr>
        <w:t>formulár JED</w:t>
      </w:r>
      <w:r>
        <w:rPr>
          <w:rFonts w:ascii="Arial Narrow" w:hAnsi="Arial Narrow" w:cs="Arial Narrow"/>
        </w:rPr>
        <w:t xml:space="preserve"> vo formáte .</w:t>
      </w:r>
      <w:proofErr w:type="spellStart"/>
      <w:r>
        <w:rPr>
          <w:rFonts w:ascii="Arial Narrow" w:hAnsi="Arial Narrow" w:cs="Arial Narrow"/>
        </w:rPr>
        <w:t>xml</w:t>
      </w:r>
      <w:proofErr w:type="spellEnd"/>
      <w:r w:rsidRPr="00F73CE5">
        <w:rPr>
          <w:rFonts w:ascii="Arial Narrow" w:hAnsi="Arial Narrow" w:cs="Arial Narrow"/>
        </w:rPr>
        <w:t xml:space="preserve">, </w:t>
      </w:r>
      <w:r>
        <w:rPr>
          <w:rFonts w:ascii="Arial Narrow" w:hAnsi="Arial Narrow" w:cs="Arial Narrow"/>
        </w:rPr>
        <w:br/>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AF7F2F" w:rsidRPr="00AA7BE0" w:rsidSect="00AA26B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6C0A" w14:textId="77777777" w:rsidR="00907FAB" w:rsidRDefault="00907FAB" w:rsidP="00CF3803">
      <w:pPr>
        <w:spacing w:after="0" w:line="240" w:lineRule="auto"/>
      </w:pPr>
      <w:r>
        <w:separator/>
      </w:r>
    </w:p>
  </w:endnote>
  <w:endnote w:type="continuationSeparator" w:id="0">
    <w:p w14:paraId="1B264D97" w14:textId="77777777" w:rsidR="00907FAB" w:rsidRDefault="00907FA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9F680" w14:textId="77777777" w:rsidR="00907FAB" w:rsidRDefault="00907FAB" w:rsidP="00CF3803">
      <w:pPr>
        <w:spacing w:after="0" w:line="240" w:lineRule="auto"/>
      </w:pPr>
      <w:r>
        <w:separator/>
      </w:r>
    </w:p>
  </w:footnote>
  <w:footnote w:type="continuationSeparator" w:id="0">
    <w:p w14:paraId="7E6F425D" w14:textId="77777777" w:rsidR="00907FAB" w:rsidRDefault="00907FA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D770" w14:textId="77777777" w:rsidR="00FD4265" w:rsidRDefault="00FD4265" w:rsidP="00FD4265">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2795DB6D" w14:textId="489DC0A4" w:rsidR="00FD4265" w:rsidRDefault="00FD4265" w:rsidP="00FD4265">
    <w:pPr>
      <w:pStyle w:val="Hlavika"/>
    </w:pPr>
    <w:r w:rsidRPr="00C15D8E">
      <w:rPr>
        <w:rFonts w:ascii="Arial Narrow" w:hAnsi="Arial Narrow"/>
        <w:i/>
        <w:iCs/>
      </w:rPr>
      <w:t>Kompozitná tlaková nádoba s poistným ventilom na stlačený vzduch k autonómnemu dýchaciemu prístroju pretlakovému</w:t>
    </w:r>
    <w:r>
      <w:rPr>
        <w:rFonts w:ascii="Arial Narrow" w:hAnsi="Arial Narrow"/>
        <w:i/>
        <w:iCs/>
      </w:rPr>
      <w:t xml:space="preserve"> </w:t>
    </w:r>
    <w:r w:rsidRPr="00C15D8E">
      <w:rPr>
        <w:rFonts w:ascii="Arial Narrow" w:hAnsi="Arial Narrow"/>
        <w:i/>
        <w:iCs/>
      </w:rPr>
      <w:t xml:space="preserve">s </w:t>
    </w:r>
    <w:r w:rsidRPr="00EE7363">
      <w:rPr>
        <w:rFonts w:ascii="Arial Narrow" w:hAnsi="Arial Narrow"/>
        <w:i/>
        <w:iCs/>
      </w:rPr>
      <w:t>otvoreným okruhom</w:t>
    </w:r>
    <w:r w:rsidR="00632E69" w:rsidRPr="00EE7363">
      <w:rPr>
        <w:rFonts w:ascii="Arial Narrow" w:hAnsi="Arial Narrow"/>
        <w:i/>
        <w:iCs/>
      </w:rPr>
      <w:t xml:space="preserve"> (2023)</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5"/>
  </w:num>
  <w:num w:numId="7">
    <w:abstractNumId w:val="1"/>
  </w:num>
  <w:num w:numId="8">
    <w:abstractNumId w:val="12"/>
  </w:num>
  <w:num w:numId="9">
    <w:abstractNumId w:val="16"/>
  </w:num>
  <w:num w:numId="10">
    <w:abstractNumId w:val="6"/>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1711A"/>
    <w:rsid w:val="00630342"/>
    <w:rsid w:val="00632E69"/>
    <w:rsid w:val="00637F7F"/>
    <w:rsid w:val="00647977"/>
    <w:rsid w:val="006660F5"/>
    <w:rsid w:val="00673D9A"/>
    <w:rsid w:val="00696C21"/>
    <w:rsid w:val="006A3A63"/>
    <w:rsid w:val="006A4B61"/>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3370"/>
    <w:rsid w:val="008B4C0F"/>
    <w:rsid w:val="008B78EB"/>
    <w:rsid w:val="008C3328"/>
    <w:rsid w:val="008D5D52"/>
    <w:rsid w:val="008D7643"/>
    <w:rsid w:val="008D7A41"/>
    <w:rsid w:val="008E14CA"/>
    <w:rsid w:val="008F5ED1"/>
    <w:rsid w:val="00902FD9"/>
    <w:rsid w:val="00905688"/>
    <w:rsid w:val="009065DC"/>
    <w:rsid w:val="00907FAB"/>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1576</Words>
  <Characters>8985</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Jozef Bálint</cp:lastModifiedBy>
  <cp:revision>19</cp:revision>
  <cp:lastPrinted>2022-01-18T07:35:00Z</cp:lastPrinted>
  <dcterms:created xsi:type="dcterms:W3CDTF">2022-01-11T17:32:00Z</dcterms:created>
  <dcterms:modified xsi:type="dcterms:W3CDTF">2023-11-09T14:38:00Z</dcterms:modified>
</cp:coreProperties>
</file>