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1DF713D7"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C5141">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5473D3CD"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6D30A6" w:rsidRPr="006D30A6">
        <w:rPr>
          <w:rFonts w:ascii="Arial Narrow" w:hAnsi="Arial Narrow" w:cs="Times New Roman"/>
          <w:highlight w:val="yellow"/>
        </w:rPr>
        <w:t>............</w:t>
      </w:r>
      <w:r w:rsidRPr="006D30A6">
        <w:rPr>
          <w:rFonts w:ascii="Arial Narrow" w:hAnsi="Arial Narrow" w:cs="Times New Roman"/>
          <w:highlight w:val="yellow"/>
        </w:rPr>
        <w:t>.202</w:t>
      </w:r>
      <w:r w:rsidR="001A2E11" w:rsidRPr="006D30A6">
        <w:rPr>
          <w:rFonts w:ascii="Arial Narrow" w:hAnsi="Arial Narrow" w:cs="Times New Roman"/>
          <w:highlight w:val="yellow"/>
        </w:rPr>
        <w:t>4</w:t>
      </w:r>
      <w:r w:rsidRPr="006D30A6">
        <w:rPr>
          <w:rFonts w:ascii="Arial Narrow" w:hAnsi="Arial Narrow" w:cs="Times New Roman"/>
          <w:highlight w:val="yellow"/>
        </w:rPr>
        <w:t xml:space="preserve"> do </w:t>
      </w:r>
      <w:r w:rsidR="000B086A" w:rsidRPr="006D30A6">
        <w:rPr>
          <w:rFonts w:ascii="Arial Narrow" w:hAnsi="Arial Narrow" w:cs="Times New Roman"/>
          <w:highlight w:val="yellow"/>
        </w:rPr>
        <w:t>31.12</w:t>
      </w:r>
      <w:r w:rsidRPr="006D30A6">
        <w:rPr>
          <w:rFonts w:ascii="Arial Narrow" w:hAnsi="Arial Narrow" w:cs="Times New Roman"/>
          <w:highlight w:val="yellow"/>
        </w:rPr>
        <w:t>.202</w:t>
      </w:r>
      <w:r w:rsidR="001A2E11" w:rsidRPr="006D30A6">
        <w:rPr>
          <w:rFonts w:ascii="Arial Narrow" w:hAnsi="Arial Narrow" w:cs="Times New Roman"/>
          <w:highlight w:val="yellow"/>
        </w:rPr>
        <w:t>4</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4CA815F0"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6D30A6">
        <w:rPr>
          <w:rFonts w:ascii="Arial Narrow" w:hAnsi="Arial Narrow"/>
          <w:u w:val="single"/>
        </w:rPr>
        <w:t xml:space="preserve"> 2</w:t>
      </w:r>
      <w:r w:rsidR="00AC5141">
        <w:rPr>
          <w:rFonts w:ascii="Arial Narrow" w:hAnsi="Arial Narrow"/>
          <w:u w:val="single"/>
        </w:rPr>
        <w:t>/2024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30532886"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Zmluvy, v čase </w:t>
      </w:r>
      <w:r w:rsidR="00007268">
        <w:rPr>
          <w:rFonts w:ascii="Arial Narrow" w:eastAsia="Arial Narrow" w:hAnsi="Arial Narrow" w:cs="Arial Narrow"/>
          <w:b/>
          <w:bCs/>
          <w:color w:val="000000"/>
          <w:lang w:eastAsia="cs-CZ" w:bidi="cs-CZ"/>
        </w:rPr>
        <w:t xml:space="preserve">od </w:t>
      </w:r>
      <w:r w:rsidR="00007268" w:rsidRPr="00007268">
        <w:rPr>
          <w:rFonts w:ascii="Arial Narrow" w:eastAsia="Arial Narrow" w:hAnsi="Arial Narrow" w:cs="Arial Narrow"/>
          <w:b/>
          <w:bCs/>
          <w:color w:val="000000"/>
          <w:highlight w:val="yellow"/>
          <w:lang w:eastAsia="cs-CZ" w:bidi="cs-CZ"/>
        </w:rPr>
        <w:t>.........</w:t>
      </w:r>
      <w:r w:rsidRPr="00007268">
        <w:rPr>
          <w:rFonts w:ascii="Arial Narrow" w:eastAsia="Arial Narrow" w:hAnsi="Arial Narrow" w:cs="Arial Narrow"/>
          <w:b/>
          <w:bCs/>
          <w:color w:val="000000"/>
          <w:highlight w:val="yellow"/>
          <w:lang w:eastAsia="cs-CZ" w:bidi="cs-CZ"/>
        </w:rPr>
        <w:t>.202</w:t>
      </w:r>
      <w:r w:rsidR="00AC5141" w:rsidRPr="00007268">
        <w:rPr>
          <w:rFonts w:ascii="Arial Narrow" w:eastAsia="Arial Narrow" w:hAnsi="Arial Narrow" w:cs="Arial Narrow"/>
          <w:b/>
          <w:bCs/>
          <w:color w:val="000000"/>
          <w:highlight w:val="yellow"/>
          <w:lang w:eastAsia="cs-CZ" w:bidi="cs-CZ"/>
        </w:rPr>
        <w:t>4</w:t>
      </w:r>
      <w:r w:rsidRPr="00007268">
        <w:rPr>
          <w:rFonts w:ascii="Arial Narrow" w:eastAsia="Arial Narrow" w:hAnsi="Arial Narrow" w:cs="Arial Narrow"/>
          <w:b/>
          <w:bCs/>
          <w:color w:val="000000"/>
          <w:highlight w:val="yellow"/>
          <w:lang w:eastAsia="cs-CZ" w:bidi="cs-CZ"/>
        </w:rPr>
        <w:t xml:space="preserve"> 00:00:00 hodiny do 31.12.202</w:t>
      </w:r>
      <w:r w:rsidR="00AC5141" w:rsidRPr="00007268">
        <w:rPr>
          <w:rFonts w:ascii="Arial Narrow" w:eastAsia="Arial Narrow" w:hAnsi="Arial Narrow" w:cs="Arial Narrow"/>
          <w:b/>
          <w:bCs/>
          <w:color w:val="000000"/>
          <w:highlight w:val="yellow"/>
          <w:lang w:eastAsia="cs-CZ" w:bidi="cs-CZ"/>
        </w:rPr>
        <w:t>4</w:t>
      </w:r>
      <w:r w:rsidRPr="007079BC">
        <w:rPr>
          <w:rFonts w:ascii="Arial Narrow" w:eastAsia="Arial Narrow" w:hAnsi="Arial Narrow" w:cs="Arial Narrow"/>
          <w:b/>
          <w:bCs/>
          <w:color w:val="000000"/>
          <w:lang w:eastAsia="cs-CZ" w:bidi="cs-CZ"/>
        </w:rPr>
        <w:t xml:space="preserve"> 24:00:00 hodiny.</w:t>
      </w:r>
    </w:p>
    <w:p w14:paraId="5EE44FFB"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Vzájomná komunikácia musí byť v slovenskom jazyku.</w:t>
      </w:r>
    </w:p>
    <w:p w14:paraId="77DD3E53"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7079BC">
        <w:rPr>
          <w:rFonts w:ascii="Arial Narrow" w:eastAsia="Arial Narrow" w:hAnsi="Arial Narrow" w:cs="Arial Narrow"/>
          <w:color w:val="000000"/>
          <w:lang w:eastAsia="sk-SK" w:bidi="sk-SK"/>
        </w:rPr>
        <w:t xml:space="preserve">môže používateľ </w:t>
      </w:r>
      <w:r w:rsidRPr="007079BC">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Prístupové práva na prístup do elektronického </w:t>
      </w:r>
      <w:bookmarkStart w:id="3" w:name="_GoBack"/>
      <w:bookmarkEnd w:id="3"/>
      <w:r w:rsidRPr="007079BC">
        <w:rPr>
          <w:rFonts w:ascii="Arial Narrow" w:eastAsia="Arial Narrow" w:hAnsi="Arial Narrow" w:cs="Arial Narrow"/>
          <w:color w:val="000000"/>
          <w:lang w:eastAsia="cs-CZ" w:bidi="cs-CZ"/>
        </w:rPr>
        <w:t>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1206" w14:textId="77777777" w:rsidR="00A53007" w:rsidRDefault="00A53007" w:rsidP="002B256F">
      <w:pPr>
        <w:spacing w:after="0" w:line="240" w:lineRule="auto"/>
      </w:pPr>
      <w:r>
        <w:separator/>
      </w:r>
    </w:p>
  </w:endnote>
  <w:endnote w:type="continuationSeparator" w:id="0">
    <w:p w14:paraId="136A513C" w14:textId="77777777" w:rsidR="00A53007" w:rsidRDefault="00A53007"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681926B5"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007268">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2DB40" w14:textId="77777777" w:rsidR="00A53007" w:rsidRDefault="00A53007" w:rsidP="002B256F">
      <w:pPr>
        <w:spacing w:after="0" w:line="240" w:lineRule="auto"/>
      </w:pPr>
      <w:r>
        <w:separator/>
      </w:r>
    </w:p>
  </w:footnote>
  <w:footnote w:type="continuationSeparator" w:id="0">
    <w:p w14:paraId="592D8552" w14:textId="77777777" w:rsidR="00A53007" w:rsidRDefault="00A53007"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53007"/>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317"/>
    <w:rsid w:val="00DE2048"/>
    <w:rsid w:val="00E21F64"/>
    <w:rsid w:val="00E25CB7"/>
    <w:rsid w:val="00E30580"/>
    <w:rsid w:val="00E47A39"/>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1C81F79-83A6-4E7F-AEBB-9F2C1F28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6581</Words>
  <Characters>37512</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4</cp:revision>
  <cp:lastPrinted>2023-09-22T08:01:00Z</cp:lastPrinted>
  <dcterms:created xsi:type="dcterms:W3CDTF">2023-10-05T12:32:00Z</dcterms:created>
  <dcterms:modified xsi:type="dcterms:W3CDTF">2023-11-02T13:41:00Z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