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4E" w:rsidRPr="00ED17EE" w:rsidRDefault="007E2F4E" w:rsidP="007E2F4E">
      <w:pPr>
        <w:pStyle w:val="Nadpis1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2"/>
          <w:szCs w:val="22"/>
        </w:rPr>
      </w:pPr>
      <w:bookmarkStart w:id="0" w:name="_Toc18911188"/>
      <w:r w:rsidRPr="00ED17EE">
        <w:rPr>
          <w:rFonts w:asciiTheme="minorHAnsi" w:hAnsiTheme="minorHAnsi" w:cstheme="minorHAnsi"/>
          <w:sz w:val="22"/>
          <w:szCs w:val="22"/>
        </w:rPr>
        <w:t>Návrh na plnenie kritérií</w:t>
      </w:r>
      <w:bookmarkEnd w:id="0"/>
    </w:p>
    <w:p w:rsidR="007E2F4E" w:rsidRPr="00ED17EE" w:rsidRDefault="007E2F4E" w:rsidP="007E2F4E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  <w:color w:val="2E74B5"/>
        </w:rPr>
      </w:pPr>
    </w:p>
    <w:p w:rsidR="007E2F4E" w:rsidRPr="00ED17EE" w:rsidRDefault="007E2F4E" w:rsidP="007E2F4E">
      <w:pPr>
        <w:pStyle w:val="Cislo-1-nadpis"/>
        <w:numPr>
          <w:ilvl w:val="0"/>
          <w:numId w:val="2"/>
        </w:numPr>
        <w:rPr>
          <w:rFonts w:asciiTheme="minorHAnsi" w:hAnsiTheme="minorHAnsi" w:cstheme="minorHAnsi"/>
        </w:rPr>
      </w:pPr>
      <w:bookmarkStart w:id="1" w:name="_Toc462923046"/>
      <w:bookmarkStart w:id="2" w:name="_Toc18911189"/>
      <w:bookmarkStart w:id="3" w:name="_Toc461108104"/>
      <w:r w:rsidRPr="00ED17EE">
        <w:rPr>
          <w:rFonts w:asciiTheme="minorHAnsi" w:hAnsiTheme="minorHAnsi" w:cstheme="minorHAnsi"/>
        </w:rPr>
        <w:t>Identifikačné údaje uchádzača</w:t>
      </w:r>
      <w:bookmarkEnd w:id="1"/>
      <w:r w:rsidRPr="00ED17EE">
        <w:rPr>
          <w:rFonts w:asciiTheme="minorHAnsi" w:hAnsiTheme="minorHAnsi" w:cstheme="minorHAnsi"/>
        </w:rPr>
        <w:t>:</w:t>
      </w:r>
      <w:bookmarkEnd w:id="2"/>
    </w:p>
    <w:p w:rsidR="007E2F4E" w:rsidRPr="00ED17EE" w:rsidRDefault="007E2F4E" w:rsidP="007E2F4E">
      <w:pPr>
        <w:pStyle w:val="Cislo-1-nadpis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:rsidR="007E2F4E" w:rsidRPr="00ED17EE" w:rsidRDefault="007E2F4E" w:rsidP="007E2F4E">
      <w:pPr>
        <w:tabs>
          <w:tab w:val="left" w:pos="1620"/>
        </w:tabs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 xml:space="preserve">Obchodné meno: </w:t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</w:p>
    <w:p w:rsidR="007E2F4E" w:rsidRPr="00ED17EE" w:rsidRDefault="007E2F4E" w:rsidP="007E2F4E">
      <w:pPr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>Sídlo:</w:t>
      </w:r>
    </w:p>
    <w:p w:rsidR="007E2F4E" w:rsidRPr="00ED17EE" w:rsidRDefault="007E2F4E" w:rsidP="007E2F4E">
      <w:pPr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>IČO:</w:t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</w:p>
    <w:p w:rsidR="007E2F4E" w:rsidRPr="00ED17EE" w:rsidRDefault="007E2F4E" w:rsidP="007E2F4E">
      <w:pPr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 xml:space="preserve">Zastúpený: </w:t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</w:p>
    <w:p w:rsidR="007E2F4E" w:rsidRPr="00ED17EE" w:rsidRDefault="007E2F4E" w:rsidP="007E2F4E">
      <w:pPr>
        <w:tabs>
          <w:tab w:val="clear" w:pos="2138"/>
          <w:tab w:val="left" w:pos="0"/>
          <w:tab w:val="left" w:pos="2127"/>
        </w:tabs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>Kontaktná osoba:</w:t>
      </w:r>
      <w:r w:rsidRPr="00ED17EE">
        <w:rPr>
          <w:rFonts w:asciiTheme="minorHAnsi" w:hAnsiTheme="minorHAnsi" w:cstheme="minorHAnsi"/>
          <w:lang w:eastAsia="sk-SK"/>
        </w:rPr>
        <w:tab/>
      </w:r>
    </w:p>
    <w:p w:rsidR="007E2F4E" w:rsidRPr="00ED17EE" w:rsidRDefault="007E2F4E" w:rsidP="007E2F4E">
      <w:pPr>
        <w:rPr>
          <w:rFonts w:asciiTheme="minorHAnsi" w:hAnsiTheme="minorHAnsi" w:cstheme="minorHAnsi"/>
        </w:rPr>
      </w:pPr>
      <w:r w:rsidRPr="00ED17EE">
        <w:rPr>
          <w:rFonts w:asciiTheme="minorHAnsi" w:hAnsiTheme="minorHAnsi" w:cstheme="minorHAnsi"/>
          <w:lang w:eastAsia="sk-SK"/>
        </w:rPr>
        <w:t>Kontaktné údaje:</w:t>
      </w:r>
    </w:p>
    <w:p w:rsidR="007E2F4E" w:rsidRPr="00ED17EE" w:rsidRDefault="007E2F4E" w:rsidP="007E2F4E">
      <w:pPr>
        <w:rPr>
          <w:rFonts w:asciiTheme="minorHAnsi" w:hAnsiTheme="minorHAnsi" w:cstheme="minorHAnsi"/>
        </w:rPr>
      </w:pPr>
    </w:p>
    <w:p w:rsidR="007E2F4E" w:rsidRPr="00ED17EE" w:rsidRDefault="007E2F4E" w:rsidP="007E2F4E">
      <w:pPr>
        <w:pStyle w:val="Cislo-1-nadpis"/>
        <w:numPr>
          <w:ilvl w:val="0"/>
          <w:numId w:val="2"/>
        </w:numPr>
        <w:rPr>
          <w:rFonts w:asciiTheme="minorHAnsi" w:hAnsiTheme="minorHAnsi" w:cstheme="minorHAnsi"/>
        </w:rPr>
      </w:pPr>
      <w:bookmarkStart w:id="4" w:name="_Toc18911190"/>
      <w:r w:rsidRPr="00ED17EE">
        <w:rPr>
          <w:rFonts w:asciiTheme="minorHAnsi" w:hAnsiTheme="minorHAnsi" w:cstheme="minorHAnsi"/>
        </w:rPr>
        <w:t>Návrh na plnenie kritérií</w:t>
      </w:r>
      <w:bookmarkEnd w:id="3"/>
      <w:r w:rsidRPr="00ED17EE">
        <w:rPr>
          <w:rFonts w:asciiTheme="minorHAnsi" w:hAnsiTheme="minorHAnsi" w:cstheme="minorHAnsi"/>
        </w:rPr>
        <w:t>:</w:t>
      </w:r>
      <w:bookmarkEnd w:id="4"/>
    </w:p>
    <w:p w:rsidR="007E2F4E" w:rsidRPr="00ED17EE" w:rsidRDefault="007E2F4E" w:rsidP="007E2F4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7" w:line="259" w:lineRule="auto"/>
        <w:jc w:val="right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173"/>
        <w:tblW w:w="6566" w:type="dxa"/>
        <w:tblCellMar>
          <w:top w:w="12" w:type="dxa"/>
          <w:left w:w="125" w:type="dxa"/>
          <w:right w:w="0" w:type="dxa"/>
        </w:tblCellMar>
        <w:tblLook w:val="00A0" w:firstRow="1" w:lastRow="0" w:firstColumn="1" w:lastColumn="0" w:noHBand="0" w:noVBand="0"/>
      </w:tblPr>
      <w:tblGrid>
        <w:gridCol w:w="3479"/>
        <w:gridCol w:w="1528"/>
        <w:gridCol w:w="1559"/>
      </w:tblGrid>
      <w:tr w:rsidR="007E2F4E" w:rsidRPr="00ED17EE" w:rsidTr="00C603ED">
        <w:trPr>
          <w:trHeight w:val="804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2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b/>
                <w:color w:val="000000"/>
              </w:rPr>
              <w:t xml:space="preserve">Upratovacie a čistiace služby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after="17" w:line="259" w:lineRule="auto"/>
              <w:ind w:left="89"/>
              <w:rPr>
                <w:rFonts w:asciiTheme="minorHAnsi" w:hAnsiTheme="minorHAnsi" w:cstheme="minorHAnsi"/>
                <w:b/>
                <w:color w:val="000000"/>
              </w:rPr>
            </w:pPr>
            <w:r w:rsidRPr="00ED17EE">
              <w:rPr>
                <w:rFonts w:asciiTheme="minorHAnsi" w:hAnsiTheme="minorHAnsi" w:cstheme="minorHAnsi"/>
                <w:b/>
                <w:color w:val="000000"/>
              </w:rPr>
              <w:t>Cena bez DPH (EUR) za 24 mesiacov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after="17" w:line="259" w:lineRule="auto"/>
              <w:ind w:left="89"/>
              <w:rPr>
                <w:rFonts w:asciiTheme="minorHAnsi" w:hAnsiTheme="minorHAnsi" w:cstheme="minorHAnsi"/>
                <w:b/>
                <w:color w:val="000000"/>
              </w:rPr>
            </w:pPr>
            <w:r w:rsidRPr="00ED17EE">
              <w:rPr>
                <w:rFonts w:asciiTheme="minorHAnsi" w:hAnsiTheme="minorHAnsi" w:cstheme="minorHAnsi"/>
                <w:b/>
                <w:color w:val="000000"/>
              </w:rPr>
              <w:t>Cena s DPH (EUR) za 24 mesiacov</w:t>
            </w:r>
          </w:p>
        </w:tc>
      </w:tr>
      <w:tr w:rsidR="007E2F4E" w:rsidRPr="00ED17EE" w:rsidTr="00C603ED">
        <w:trPr>
          <w:trHeight w:val="804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after="17" w:line="259" w:lineRule="auto"/>
              <w:ind w:right="438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 xml:space="preserve">Objekt č. 1 - Administratívna budova </w:t>
            </w:r>
            <w:proofErr w:type="spellStart"/>
            <w:r w:rsidRPr="00ED17EE">
              <w:rPr>
                <w:rFonts w:asciiTheme="minorHAnsi" w:hAnsiTheme="minorHAnsi" w:cstheme="minorHAnsi"/>
                <w:color w:val="000000"/>
              </w:rPr>
              <w:t>Dobrovičova</w:t>
            </w:r>
            <w:proofErr w:type="spellEnd"/>
            <w:r w:rsidRPr="00ED17EE">
              <w:rPr>
                <w:rFonts w:asciiTheme="minorHAnsi" w:hAnsiTheme="minorHAnsi" w:cstheme="minorHAnsi"/>
                <w:color w:val="000000"/>
              </w:rPr>
              <w:t xml:space="preserve"> 12,        </w:t>
            </w:r>
          </w:p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after="17" w:line="259" w:lineRule="auto"/>
              <w:ind w:right="125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 xml:space="preserve">812 66 Bratislava, Blok B, C, A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27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27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2F4E" w:rsidRPr="00ED17EE" w:rsidTr="00C603ED">
        <w:trPr>
          <w:trHeight w:val="804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 xml:space="preserve">Objekt č. 2 - Ubytovacie zariadenie  MPRV SR, Nábrežie Armádneho Generála Ľ. Svobodu č. 54, Bratislava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E" w:rsidRPr="00ED17EE" w:rsidRDefault="007E2F4E" w:rsidP="00C603ED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15510" w:rsidRPr="00ED17EE" w:rsidTr="00C603ED">
        <w:trPr>
          <w:trHeight w:val="435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0" w:rsidRPr="00DD191C" w:rsidRDefault="00D15510" w:rsidP="00D15510">
            <w:pPr>
              <w:spacing w:line="259" w:lineRule="auto"/>
              <w:rPr>
                <w:rFonts w:asciiTheme="minorHAnsi" w:hAnsiTheme="minorHAnsi" w:cstheme="minorHAnsi"/>
                <w:color w:val="000000"/>
              </w:rPr>
            </w:pPr>
            <w:bookmarkStart w:id="5" w:name="_GoBack" w:colFirst="0" w:colLast="0"/>
            <w:r w:rsidRPr="00DD191C">
              <w:rPr>
                <w:rFonts w:asciiTheme="minorHAnsi" w:hAnsiTheme="minorHAnsi" w:cstheme="minorHAnsi"/>
              </w:rPr>
              <w:t>Administratívna budova MPRV SR, Krížna 52, Bratislava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5"/>
      <w:tr w:rsidR="00D15510" w:rsidRPr="00ED17EE" w:rsidTr="00C603ED">
        <w:trPr>
          <w:trHeight w:val="435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>Objekt č. 4 - Administratívna budova, Kollárová 2, Liptovský Mikuláš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15510" w:rsidRPr="00ED17EE" w:rsidTr="00C603ED">
        <w:trPr>
          <w:trHeight w:val="546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>Objekt č. 5 - Administratívna budova Nám. SNP 50, Zvolen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15510" w:rsidRPr="00ED17EE" w:rsidTr="00C603ED">
        <w:trPr>
          <w:trHeight w:val="546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>Objekt č. 6 - Administratívna budova, Mariánska č. 6, Prievidza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15510" w:rsidRPr="00ED17EE" w:rsidTr="00C603ED">
        <w:trPr>
          <w:trHeight w:val="506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color w:val="000000"/>
              </w:rPr>
            </w:pPr>
            <w:r w:rsidRPr="00ED17EE">
              <w:rPr>
                <w:rFonts w:asciiTheme="minorHAnsi" w:hAnsiTheme="minorHAnsi" w:cstheme="minorHAnsi"/>
                <w:color w:val="000000"/>
              </w:rPr>
              <w:t>Objekt č. 7 - Administratívna budova, Nám. Sv. Anny 7, Trenčín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15510" w:rsidRPr="00ED17EE" w:rsidTr="00C603ED">
        <w:trPr>
          <w:trHeight w:val="420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D17EE">
              <w:rPr>
                <w:rFonts w:asciiTheme="minorHAnsi" w:hAnsiTheme="minorHAnsi" w:cstheme="minorHAnsi"/>
                <w:b/>
                <w:color w:val="000000"/>
              </w:rPr>
              <w:t>Celková cena spolu</w:t>
            </w:r>
          </w:p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10" w:rsidRPr="00ED17EE" w:rsidRDefault="00D15510" w:rsidP="00D15510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spacing w:line="259" w:lineRule="auto"/>
              <w:ind w:right="13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7E2F4E" w:rsidRPr="00ED17EE" w:rsidRDefault="007E2F4E" w:rsidP="007E2F4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line="259" w:lineRule="auto"/>
        <w:jc w:val="right"/>
        <w:rPr>
          <w:rFonts w:asciiTheme="minorHAnsi" w:hAnsiTheme="minorHAnsi" w:cstheme="minorHAnsi"/>
          <w:color w:val="000000"/>
        </w:rPr>
      </w:pPr>
      <w:r w:rsidRPr="00ED17EE">
        <w:rPr>
          <w:rFonts w:asciiTheme="minorHAnsi" w:hAnsiTheme="minorHAnsi" w:cstheme="minorHAnsi"/>
          <w:b/>
          <w:i/>
          <w:color w:val="000000"/>
        </w:rPr>
        <w:t xml:space="preserve"> </w:t>
      </w:r>
    </w:p>
    <w:p w:rsidR="007E2F4E" w:rsidRPr="00ED17EE" w:rsidRDefault="007E2F4E" w:rsidP="007E2F4E">
      <w:pPr>
        <w:pStyle w:val="Cislo-2-text"/>
        <w:tabs>
          <w:tab w:val="clear" w:pos="709"/>
        </w:tabs>
        <w:ind w:left="0" w:firstLine="0"/>
        <w:rPr>
          <w:rFonts w:asciiTheme="minorHAnsi" w:hAnsiTheme="minorHAnsi" w:cstheme="minorHAnsi"/>
        </w:rPr>
      </w:pPr>
    </w:p>
    <w:p w:rsidR="007E2F4E" w:rsidRPr="00ED17EE" w:rsidRDefault="007E2F4E" w:rsidP="007E2F4E">
      <w:pPr>
        <w:pStyle w:val="Cislo-2-text"/>
        <w:tabs>
          <w:tab w:val="clear" w:pos="709"/>
        </w:tabs>
        <w:ind w:left="0" w:firstLine="0"/>
        <w:rPr>
          <w:rFonts w:asciiTheme="minorHAnsi" w:hAnsiTheme="minorHAnsi" w:cstheme="minorHAnsi"/>
        </w:rPr>
      </w:pPr>
    </w:p>
    <w:p w:rsidR="007E2F4E" w:rsidRPr="00ED17EE" w:rsidRDefault="007E2F4E" w:rsidP="007E2F4E">
      <w:pPr>
        <w:pStyle w:val="Cislo-2-text"/>
        <w:tabs>
          <w:tab w:val="clear" w:pos="709"/>
        </w:tabs>
        <w:ind w:left="0" w:firstLine="0"/>
        <w:jc w:val="left"/>
        <w:rPr>
          <w:rFonts w:asciiTheme="minorHAnsi" w:hAnsiTheme="minorHAnsi" w:cstheme="minorHAnsi"/>
        </w:rPr>
      </w:pPr>
    </w:p>
    <w:p w:rsidR="004E2166" w:rsidRDefault="004E2166"/>
    <w:sectPr w:rsidR="004E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1DCBEEE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51696A1B"/>
    <w:multiLevelType w:val="hybridMultilevel"/>
    <w:tmpl w:val="F484FA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4E"/>
    <w:rsid w:val="004E2166"/>
    <w:rsid w:val="007E2F4E"/>
    <w:rsid w:val="00D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6A2D0-E6A5-429F-8D99-6BA9E4A1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F4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"/>
    <w:basedOn w:val="Normlny"/>
    <w:next w:val="Normlny"/>
    <w:link w:val="Nadpis1Char"/>
    <w:uiPriority w:val="99"/>
    <w:qFormat/>
    <w:rsid w:val="007E2F4E"/>
    <w:pPr>
      <w:keepNext/>
      <w:keepLines/>
      <w:pageBreakBefore/>
      <w:numPr>
        <w:numId w:val="1"/>
      </w:numPr>
      <w:shd w:val="clear" w:color="auto" w:fill="DEEAF6"/>
      <w:spacing w:before="240"/>
      <w:outlineLvl w:val="0"/>
    </w:pPr>
    <w:rPr>
      <w:rFonts w:ascii="Calibri Light" w:eastAsia="Times New Roman" w:hAnsi="Calibri Light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E2F4E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9"/>
    <w:rsid w:val="007E2F4E"/>
    <w:rPr>
      <w:rFonts w:ascii="Calibri Light" w:eastAsia="Times New Roman" w:hAnsi="Calibri Light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9"/>
    <w:rsid w:val="007E2F4E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uiPriority w:val="99"/>
    <w:rsid w:val="007E2F4E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uiPriority w:val="99"/>
    <w:rsid w:val="007E2F4E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4-a-text">
    <w:name w:val="Cislo-4-a-text"/>
    <w:basedOn w:val="Normlny"/>
    <w:uiPriority w:val="99"/>
    <w:rsid w:val="007E2F4E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Ján</dc:creator>
  <cp:keywords/>
  <dc:description/>
  <cp:lastModifiedBy>Lipták Ján</cp:lastModifiedBy>
  <cp:revision>2</cp:revision>
  <dcterms:created xsi:type="dcterms:W3CDTF">2019-10-31T15:36:00Z</dcterms:created>
  <dcterms:modified xsi:type="dcterms:W3CDTF">2019-10-31T15:36:00Z</dcterms:modified>
</cp:coreProperties>
</file>