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B0" w:rsidRPr="001E75E1" w:rsidRDefault="00AF15B0" w:rsidP="00AF15B0">
      <w:pPr>
        <w:pStyle w:val="Nzov"/>
      </w:pPr>
      <w:bookmarkStart w:id="0" w:name="_Toc482950602"/>
      <w:bookmarkStart w:id="1" w:name="_Toc519157696"/>
      <w:bookmarkStart w:id="2" w:name="_Hlk497472719"/>
      <w:r w:rsidRPr="001E75E1">
        <w:t>Príloha č. 1 - NÁVRH UCHÁDZAČA NA PLNENIE JEDNOTLIVÝCH KRITÉRIÍ</w:t>
      </w:r>
      <w:bookmarkEnd w:id="0"/>
      <w:bookmarkEnd w:id="1"/>
    </w:p>
    <w:p w:rsidR="00AF15B0" w:rsidRPr="001E75E1" w:rsidRDefault="00AF15B0" w:rsidP="00AF15B0">
      <w:pPr>
        <w:jc w:val="left"/>
        <w:rPr>
          <w:sz w:val="24"/>
          <w:szCs w:val="24"/>
        </w:rPr>
      </w:pPr>
    </w:p>
    <w:p w:rsidR="00AF15B0" w:rsidRPr="006F1966" w:rsidRDefault="00AF15B0" w:rsidP="00AF15B0">
      <w:pPr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 w:rsidRPr="006F1966">
        <w:rPr>
          <w:b/>
          <w:sz w:val="24"/>
          <w:szCs w:val="24"/>
        </w:rPr>
        <w:t xml:space="preserve">Dodávka elektrickej energie s prevzatím zodpovednosti za odchýlku a zabezpečením distribučných služieb – CVO </w:t>
      </w:r>
      <w:r>
        <w:rPr>
          <w:b/>
          <w:sz w:val="24"/>
          <w:szCs w:val="24"/>
        </w:rPr>
        <w:t>119</w:t>
      </w:r>
    </w:p>
    <w:p w:rsidR="00AF15B0" w:rsidRPr="001E75E1" w:rsidRDefault="00AF15B0" w:rsidP="00AF15B0">
      <w:pPr>
        <w:jc w:val="center"/>
        <w:rPr>
          <w:b/>
          <w:sz w:val="24"/>
          <w:szCs w:val="24"/>
        </w:rPr>
      </w:pPr>
      <w:r w:rsidRPr="006F1966">
        <w:rPr>
          <w:sz w:val="24"/>
          <w:szCs w:val="24"/>
        </w:rPr>
        <w:t xml:space="preserve">Verejný obstarávateľ: </w:t>
      </w:r>
      <w:r w:rsidRPr="006F1966">
        <w:rPr>
          <w:b/>
          <w:sz w:val="24"/>
          <w:szCs w:val="24"/>
        </w:rPr>
        <w:t>Obstarávacie trhovisko Slovenska</w:t>
      </w:r>
    </w:p>
    <w:bookmarkEnd w:id="2"/>
    <w:p w:rsidR="00AF15B0" w:rsidRPr="001E75E1" w:rsidRDefault="00AF15B0" w:rsidP="00AF15B0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AF15B0" w:rsidRPr="001E75E1" w:rsidTr="000D118F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AF15B0" w:rsidRPr="001E75E1" w:rsidRDefault="00AF15B0" w:rsidP="000D118F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3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AF15B0" w:rsidRPr="001E75E1" w:rsidRDefault="00AF15B0" w:rsidP="000D118F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AF15B0" w:rsidRPr="001E75E1" w:rsidTr="000D118F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AF15B0" w:rsidRPr="001E75E1" w:rsidRDefault="00AF15B0" w:rsidP="000D118F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AF15B0" w:rsidRPr="001E75E1" w:rsidRDefault="00AF15B0" w:rsidP="000D118F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AF15B0" w:rsidRPr="001E75E1" w:rsidTr="000D118F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AF15B0" w:rsidRPr="001E75E1" w:rsidRDefault="00AF15B0" w:rsidP="000D118F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AF15B0" w:rsidRPr="001E75E1" w:rsidRDefault="00AF15B0" w:rsidP="000D118F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AF15B0" w:rsidRPr="001E75E1" w:rsidTr="000D118F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AF15B0" w:rsidRPr="001E75E1" w:rsidRDefault="00AF15B0" w:rsidP="000D118F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AF15B0" w:rsidRPr="001E75E1" w:rsidRDefault="00AF15B0" w:rsidP="000D118F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3"/>
    </w:tbl>
    <w:p w:rsidR="00AF15B0" w:rsidRPr="001E75E1" w:rsidRDefault="00AF15B0" w:rsidP="00AF15B0">
      <w:pPr>
        <w:jc w:val="left"/>
        <w:rPr>
          <w:sz w:val="24"/>
          <w:szCs w:val="24"/>
        </w:rPr>
      </w:pPr>
    </w:p>
    <w:p w:rsidR="00AF15B0" w:rsidRPr="001E75E1" w:rsidRDefault="00AF15B0" w:rsidP="00AF15B0">
      <w:pPr>
        <w:jc w:val="left"/>
        <w:rPr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AF15B0" w:rsidRPr="00173784" w:rsidTr="000D118F">
        <w:trPr>
          <w:trHeight w:val="545"/>
          <w:jc w:val="center"/>
        </w:trPr>
        <w:tc>
          <w:tcPr>
            <w:tcW w:w="4645" w:type="dxa"/>
            <w:vAlign w:val="center"/>
          </w:tcPr>
          <w:p w:rsidR="00AF15B0" w:rsidRPr="00031B0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31B06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:rsidR="00AF15B0" w:rsidRPr="00173784" w:rsidRDefault="00AF15B0" w:rsidP="000D118F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4" w:name="_Toc484160171"/>
            <w:bookmarkStart w:id="5" w:name="_Toc485732805"/>
            <w:bookmarkStart w:id="6" w:name="_Toc507658527"/>
            <w:bookmarkStart w:id="7" w:name="_Toc518990494"/>
            <w:bookmarkStart w:id="8" w:name="_Toc519157697"/>
            <w:r w:rsidRPr="00173784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 bez DPH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71" w:type="dxa"/>
            <w:vAlign w:val="center"/>
          </w:tcPr>
          <w:p w:rsidR="00AF15B0" w:rsidRPr="00173784" w:rsidRDefault="00AF15B0" w:rsidP="000D118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73784">
              <w:rPr>
                <w:b/>
                <w:sz w:val="24"/>
                <w:szCs w:val="24"/>
              </w:rPr>
              <w:t>Výška DPH</w:t>
            </w:r>
          </w:p>
        </w:tc>
        <w:tc>
          <w:tcPr>
            <w:tcW w:w="2047" w:type="dxa"/>
            <w:vAlign w:val="center"/>
          </w:tcPr>
          <w:p w:rsidR="00AF15B0" w:rsidRPr="00173784" w:rsidRDefault="00AF15B0" w:rsidP="000D118F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9" w:name="_Toc484160172"/>
            <w:bookmarkStart w:id="10" w:name="_Toc485732806"/>
            <w:bookmarkStart w:id="11" w:name="_Toc507658528"/>
            <w:bookmarkStart w:id="12" w:name="_Toc518990495"/>
            <w:bookmarkStart w:id="13" w:name="_Toc519157698"/>
            <w:r w:rsidRPr="00173784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 s DPH</w:t>
            </w:r>
            <w:bookmarkEnd w:id="9"/>
            <w:bookmarkEnd w:id="10"/>
            <w:bookmarkEnd w:id="11"/>
            <w:bookmarkEnd w:id="12"/>
            <w:bookmarkEnd w:id="13"/>
          </w:p>
        </w:tc>
      </w:tr>
      <w:tr w:rsidR="00AF15B0" w:rsidRPr="00173784" w:rsidTr="000D118F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:rsidR="00AF15B0" w:rsidRPr="00031B06" w:rsidRDefault="00AF15B0" w:rsidP="000D118F">
            <w:pPr>
              <w:rPr>
                <w:sz w:val="24"/>
                <w:szCs w:val="24"/>
              </w:rPr>
            </w:pPr>
            <w:r w:rsidRPr="00031B06">
              <w:rPr>
                <w:sz w:val="24"/>
                <w:szCs w:val="24"/>
              </w:rPr>
              <w:t>Cena za dodávku elektrickej energie (výpočet vztiahnutý k virtuálnej cene PXE - VBC = 55,00 €/MWh)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:rsidR="00AF15B0" w:rsidRPr="004F0933" w:rsidRDefault="00AF15B0" w:rsidP="000D118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:rsidR="00AF15B0" w:rsidRPr="00173784" w:rsidRDefault="00AF15B0" w:rsidP="000D1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:rsidR="00AF15B0" w:rsidRPr="00173784" w:rsidRDefault="00AF15B0" w:rsidP="000D11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15B0" w:rsidRPr="001E75E1" w:rsidRDefault="00AF15B0" w:rsidP="00AF15B0">
      <w:pPr>
        <w:jc w:val="left"/>
        <w:rPr>
          <w:sz w:val="24"/>
          <w:szCs w:val="24"/>
        </w:rPr>
      </w:pPr>
    </w:p>
    <w:p w:rsidR="00AF15B0" w:rsidRDefault="00AF15B0" w:rsidP="00AF15B0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</w:p>
    <w:p w:rsidR="00AF15B0" w:rsidRDefault="00AF15B0" w:rsidP="00AF15B0">
      <w:pPr>
        <w:pStyle w:val="Default"/>
        <w:rPr>
          <w:rFonts w:ascii="Arial Narrow" w:hAnsi="Arial Narrow" w:cs="Times New Roman"/>
        </w:rPr>
      </w:pPr>
    </w:p>
    <w:p w:rsidR="00AF15B0" w:rsidRDefault="00AF15B0" w:rsidP="00AF15B0">
      <w:pPr>
        <w:pStyle w:val="Default"/>
        <w:rPr>
          <w:rFonts w:ascii="Arial Narrow" w:hAnsi="Arial Narrow" w:cs="Times New Roman"/>
        </w:rPr>
      </w:pPr>
    </w:p>
    <w:p w:rsidR="00AF15B0" w:rsidRDefault="00AF15B0" w:rsidP="00AF15B0">
      <w:pPr>
        <w:pStyle w:val="Default"/>
        <w:rPr>
          <w:rFonts w:ascii="Arial Narrow" w:hAnsi="Arial Narrow" w:cs="Times New Roman"/>
        </w:rPr>
      </w:pPr>
    </w:p>
    <w:p w:rsidR="00AF15B0" w:rsidRDefault="00AF15B0" w:rsidP="00AF15B0">
      <w:pPr>
        <w:pStyle w:val="Default"/>
        <w:rPr>
          <w:rFonts w:ascii="Arial Narrow" w:hAnsi="Arial Narrow" w:cs="Times New Roman"/>
        </w:rPr>
      </w:pPr>
    </w:p>
    <w:p w:rsidR="00AF15B0" w:rsidRDefault="00AF15B0" w:rsidP="00AF15B0">
      <w:pPr>
        <w:pStyle w:val="Default"/>
        <w:rPr>
          <w:rFonts w:ascii="Arial Narrow" w:hAnsi="Arial Narrow" w:cs="Times New Roman"/>
        </w:rPr>
      </w:pPr>
    </w:p>
    <w:p w:rsidR="00AF15B0" w:rsidRPr="00687ECC" w:rsidRDefault="00AF15B0" w:rsidP="00AF15B0">
      <w:pPr>
        <w:pStyle w:val="Defaul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:rsidR="00AF15B0" w:rsidRPr="00687ECC" w:rsidRDefault="00AF15B0" w:rsidP="00AF15B0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:rsidR="00AF15B0" w:rsidRPr="00687ECC" w:rsidRDefault="00AF15B0" w:rsidP="00AF15B0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:rsidR="00AF15B0" w:rsidRPr="00687ECC" w:rsidRDefault="00AF15B0" w:rsidP="00AF15B0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:rsidR="00AF15B0" w:rsidRPr="00687ECC" w:rsidRDefault="00AF15B0" w:rsidP="00AF15B0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:rsidR="00AF15B0" w:rsidRPr="00687ECC" w:rsidRDefault="00AF15B0" w:rsidP="00AF15B0">
      <w:pPr>
        <w:jc w:val="left"/>
        <w:rPr>
          <w:sz w:val="24"/>
          <w:szCs w:val="24"/>
        </w:rPr>
      </w:pPr>
    </w:p>
    <w:p w:rsidR="00AF15B0" w:rsidRDefault="00AF15B0" w:rsidP="00AF15B0">
      <w:pPr>
        <w:jc w:val="left"/>
        <w:rPr>
          <w:sz w:val="24"/>
          <w:szCs w:val="24"/>
        </w:rPr>
      </w:pPr>
    </w:p>
    <w:p w:rsidR="00AF15B0" w:rsidRDefault="00AF15B0"/>
    <w:p w:rsidR="00AF15B0" w:rsidRDefault="00AF15B0"/>
    <w:p w:rsidR="00AF15B0" w:rsidRPr="00570BE3" w:rsidRDefault="00AF15B0" w:rsidP="00AF15B0">
      <w:pPr>
        <w:rPr>
          <w:b/>
          <w:sz w:val="28"/>
          <w:szCs w:val="28"/>
        </w:rPr>
      </w:pPr>
      <w:r w:rsidRPr="000957C4">
        <w:rPr>
          <w:b/>
          <w:sz w:val="28"/>
          <w:szCs w:val="28"/>
        </w:rPr>
        <w:lastRenderedPageBreak/>
        <w:t>PRÍLOHA Č. 1 -</w:t>
      </w:r>
      <w:r>
        <w:rPr>
          <w:b/>
          <w:sz w:val="28"/>
          <w:szCs w:val="28"/>
        </w:rPr>
        <w:t xml:space="preserve"> </w:t>
      </w:r>
      <w:r w:rsidRPr="000957C4">
        <w:rPr>
          <w:b/>
          <w:sz w:val="28"/>
          <w:szCs w:val="28"/>
        </w:rPr>
        <w:t>NÁVRH UCHÁDZAČA NA PLNENIE JEDNOTLIVÝCH KRITÉRIÍ</w:t>
      </w:r>
    </w:p>
    <w:p w:rsidR="00AF15B0" w:rsidRPr="006F1966" w:rsidRDefault="00AF15B0" w:rsidP="00AF15B0">
      <w:pPr>
        <w:pStyle w:val="Default"/>
        <w:jc w:val="center"/>
        <w:rPr>
          <w:rFonts w:ascii="Arial Narrow" w:hAnsi="Arial Narrow" w:cs="Times New Roman"/>
          <w:b/>
        </w:rPr>
      </w:pPr>
      <w:r w:rsidRPr="006F1966">
        <w:rPr>
          <w:rFonts w:ascii="Arial Narrow" w:hAnsi="Arial Narrow" w:cs="Times New Roman"/>
          <w:b/>
        </w:rPr>
        <w:t xml:space="preserve">Koeficienty v jednotlivých tarifách </w:t>
      </w:r>
    </w:p>
    <w:p w:rsidR="00AF15B0" w:rsidRPr="006F1966" w:rsidRDefault="00AF15B0" w:rsidP="00AF15B0">
      <w:pPr>
        <w:pStyle w:val="Default"/>
        <w:jc w:val="center"/>
        <w:rPr>
          <w:rFonts w:ascii="Arial Narrow" w:hAnsi="Arial Narrow" w:cs="Times New Roman"/>
        </w:rPr>
      </w:pPr>
      <w:r w:rsidRPr="006F1966">
        <w:rPr>
          <w:rFonts w:ascii="Arial Narrow" w:hAnsi="Arial Narrow" w:cs="Times New Roman"/>
        </w:rPr>
        <w:t>(Koeficienty uvádzajte zaokrúhlené na dve desatinné miesta)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1278"/>
        <w:gridCol w:w="1279"/>
        <w:gridCol w:w="1216"/>
        <w:gridCol w:w="1324"/>
        <w:gridCol w:w="1344"/>
        <w:gridCol w:w="1344"/>
      </w:tblGrid>
      <w:tr w:rsidR="00AF15B0" w:rsidRPr="006F1966" w:rsidTr="000D118F">
        <w:trPr>
          <w:trHeight w:val="222"/>
          <w:jc w:val="center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5B0" w:rsidRPr="006F1966" w:rsidRDefault="00AF15B0" w:rsidP="000D118F">
            <w:pPr>
              <w:pStyle w:val="Default"/>
              <w:ind w:left="11"/>
              <w:rPr>
                <w:rFonts w:ascii="Arial Narrow" w:hAnsi="Arial Narrow" w:cs="Times New Roman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6F1966">
              <w:rPr>
                <w:b/>
                <w:sz w:val="24"/>
                <w:szCs w:val="24"/>
              </w:rPr>
              <w:t>JT (</w:t>
            </w:r>
            <w:proofErr w:type="spellStart"/>
            <w:r w:rsidRPr="006F1966">
              <w:rPr>
                <w:b/>
                <w:sz w:val="24"/>
                <w:szCs w:val="24"/>
              </w:rPr>
              <w:t>jednotarifa</w:t>
            </w:r>
            <w:proofErr w:type="spellEnd"/>
            <w:r w:rsidRPr="006F1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6F1966">
              <w:rPr>
                <w:b/>
                <w:sz w:val="24"/>
                <w:szCs w:val="24"/>
              </w:rPr>
              <w:t>VT (vysoká tarifa)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6F1966">
              <w:rPr>
                <w:b/>
                <w:sz w:val="24"/>
                <w:szCs w:val="24"/>
              </w:rPr>
              <w:t>NT (nízka tarifa)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6F1966">
              <w:rPr>
                <w:b/>
                <w:sz w:val="24"/>
                <w:szCs w:val="24"/>
              </w:rPr>
              <w:t>VO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1966">
              <w:rPr>
                <w:b/>
                <w:sz w:val="24"/>
                <w:szCs w:val="24"/>
              </w:rPr>
              <w:t>(verejné osvetlenie)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AKU/VT (vykurovacia tarifa)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AKU/NT (vykurovacia tarifa)</w:t>
            </w:r>
          </w:p>
        </w:tc>
      </w:tr>
      <w:tr w:rsidR="00AF15B0" w:rsidRPr="006F1966" w:rsidTr="000D118F">
        <w:trPr>
          <w:trHeight w:val="222"/>
          <w:jc w:val="center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6F1966">
              <w:rPr>
                <w:b/>
                <w:sz w:val="24"/>
                <w:szCs w:val="24"/>
              </w:rPr>
              <w:t>Navrhnite koeficienty (pre roky 20</w:t>
            </w:r>
            <w:r>
              <w:rPr>
                <w:b/>
                <w:sz w:val="24"/>
                <w:szCs w:val="24"/>
              </w:rPr>
              <w:t>20,</w:t>
            </w:r>
            <w:r w:rsidRPr="006F1966">
              <w:rPr>
                <w:b/>
                <w:sz w:val="24"/>
                <w:szCs w:val="24"/>
              </w:rPr>
              <w:t> 20</w:t>
            </w:r>
            <w:r>
              <w:rPr>
                <w:b/>
                <w:sz w:val="24"/>
                <w:szCs w:val="24"/>
              </w:rPr>
              <w:t>21)</w:t>
            </w:r>
            <w:r w:rsidRPr="006F19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6F1966">
              <w:rPr>
                <w:b/>
                <w:sz w:val="24"/>
                <w:szCs w:val="24"/>
              </w:rPr>
              <w:t xml:space="preserve">KJT = 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6F1966">
              <w:rPr>
                <w:b/>
                <w:sz w:val="24"/>
                <w:szCs w:val="24"/>
              </w:rPr>
              <w:t xml:space="preserve">KVT = 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6F1966">
              <w:rPr>
                <w:b/>
                <w:sz w:val="24"/>
                <w:szCs w:val="24"/>
              </w:rPr>
              <w:t xml:space="preserve">KNT = 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6F1966">
              <w:rPr>
                <w:b/>
                <w:sz w:val="24"/>
                <w:szCs w:val="24"/>
              </w:rPr>
              <w:t>KVO =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KAVT = 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F15B0" w:rsidRPr="006F1966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KANT = </w:t>
            </w:r>
          </w:p>
        </w:tc>
      </w:tr>
      <w:tr w:rsidR="00AF15B0" w:rsidRPr="006F1966" w:rsidTr="000D118F">
        <w:trPr>
          <w:trHeight w:val="222"/>
          <w:jc w:val="center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5B0" w:rsidRPr="00357671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sz w:val="24"/>
                <w:szCs w:val="24"/>
              </w:rPr>
            </w:pPr>
            <w:r w:rsidRPr="00357671">
              <w:rPr>
                <w:sz w:val="24"/>
                <w:szCs w:val="24"/>
              </w:rPr>
              <w:t xml:space="preserve">Všeobecný vzorec </w:t>
            </w:r>
          </w:p>
        </w:tc>
        <w:tc>
          <w:tcPr>
            <w:tcW w:w="454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5B0" w:rsidRPr="004B4FB1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 w:rsidRPr="004B4FB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</w:t>
            </w:r>
            <w:r w:rsidRPr="004B4FB1">
              <w:rPr>
                <w:sz w:val="24"/>
                <w:szCs w:val="24"/>
              </w:rPr>
              <w:t xml:space="preserve">= (VBC * SJT * KJT) + (VBC * SVT * KVT) + (VBC * SNT * KNT) + (VBC * SVO * KVO) </w:t>
            </w:r>
            <w:r>
              <w:rPr>
                <w:sz w:val="24"/>
                <w:szCs w:val="24"/>
              </w:rPr>
              <w:t>+ (VBC * SAVT * KAVT) + (VBC * SANT * KANT)</w:t>
            </w:r>
          </w:p>
          <w:p w:rsidR="00AF15B0" w:rsidRPr="004B4FB1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 w:rsidRPr="004B4FB1">
              <w:rPr>
                <w:sz w:val="24"/>
                <w:szCs w:val="24"/>
              </w:rPr>
              <w:t>CC = (</w:t>
            </w:r>
            <w:r>
              <w:rPr>
                <w:sz w:val="24"/>
                <w:szCs w:val="24"/>
              </w:rPr>
              <w:t>55</w:t>
            </w:r>
            <w:r w:rsidRPr="004B4FB1">
              <w:rPr>
                <w:sz w:val="24"/>
                <w:szCs w:val="24"/>
              </w:rPr>
              <w:t xml:space="preserve"> * </w:t>
            </w:r>
            <w:r w:rsidRPr="00727F73">
              <w:rPr>
                <w:b/>
                <w:bCs/>
                <w:sz w:val="24"/>
                <w:szCs w:val="24"/>
              </w:rPr>
              <w:t>6 651,864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B4FB1">
              <w:rPr>
                <w:sz w:val="24"/>
                <w:szCs w:val="24"/>
              </w:rPr>
              <w:t>* KJT) + (</w:t>
            </w:r>
            <w:r>
              <w:rPr>
                <w:sz w:val="24"/>
                <w:szCs w:val="24"/>
              </w:rPr>
              <w:t>55</w:t>
            </w:r>
            <w:r w:rsidRPr="004B4FB1">
              <w:rPr>
                <w:sz w:val="24"/>
                <w:szCs w:val="24"/>
              </w:rPr>
              <w:t xml:space="preserve"> * </w:t>
            </w:r>
            <w:r w:rsidRPr="00727F73">
              <w:rPr>
                <w:b/>
                <w:bCs/>
                <w:sz w:val="24"/>
                <w:szCs w:val="24"/>
              </w:rPr>
              <w:t>2 056,890</w:t>
            </w:r>
            <w:r w:rsidRPr="00F66F46">
              <w:rPr>
                <w:color w:val="FF0000"/>
                <w:sz w:val="24"/>
                <w:szCs w:val="24"/>
              </w:rPr>
              <w:t xml:space="preserve"> </w:t>
            </w:r>
            <w:r w:rsidRPr="004B4FB1">
              <w:rPr>
                <w:sz w:val="24"/>
                <w:szCs w:val="24"/>
              </w:rPr>
              <w:t>* KVT) + (</w:t>
            </w:r>
            <w:r>
              <w:rPr>
                <w:sz w:val="24"/>
                <w:szCs w:val="24"/>
              </w:rPr>
              <w:t>55</w:t>
            </w:r>
            <w:r w:rsidRPr="004B4FB1">
              <w:rPr>
                <w:sz w:val="24"/>
                <w:szCs w:val="24"/>
              </w:rPr>
              <w:t xml:space="preserve"> * </w:t>
            </w:r>
            <w:r w:rsidRPr="00727F73">
              <w:rPr>
                <w:b/>
                <w:bCs/>
                <w:sz w:val="24"/>
                <w:szCs w:val="24"/>
              </w:rPr>
              <w:t>1 906,836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B4FB1">
              <w:rPr>
                <w:sz w:val="24"/>
                <w:szCs w:val="24"/>
              </w:rPr>
              <w:t>* KNT) + (</w:t>
            </w:r>
            <w:r>
              <w:rPr>
                <w:sz w:val="24"/>
                <w:szCs w:val="24"/>
              </w:rPr>
              <w:t>55</w:t>
            </w:r>
            <w:r w:rsidRPr="004B4FB1">
              <w:rPr>
                <w:sz w:val="24"/>
                <w:szCs w:val="24"/>
              </w:rPr>
              <w:t xml:space="preserve"> * </w:t>
            </w:r>
            <w:r w:rsidRPr="00727F73">
              <w:rPr>
                <w:b/>
                <w:bCs/>
                <w:sz w:val="24"/>
                <w:szCs w:val="24"/>
              </w:rPr>
              <w:t>4 981,976</w:t>
            </w:r>
            <w:r w:rsidRPr="00F66F46">
              <w:rPr>
                <w:sz w:val="24"/>
                <w:szCs w:val="24"/>
              </w:rPr>
              <w:t xml:space="preserve"> </w:t>
            </w:r>
            <w:r w:rsidRPr="004B4FB1">
              <w:rPr>
                <w:sz w:val="24"/>
                <w:szCs w:val="24"/>
              </w:rPr>
              <w:t xml:space="preserve">* KVO) </w:t>
            </w:r>
            <w:r>
              <w:rPr>
                <w:sz w:val="24"/>
                <w:szCs w:val="24"/>
              </w:rPr>
              <w:t xml:space="preserve">+ (55 * </w:t>
            </w:r>
            <w:r w:rsidRPr="00727F73">
              <w:rPr>
                <w:b/>
                <w:bCs/>
                <w:sz w:val="24"/>
                <w:szCs w:val="24"/>
              </w:rPr>
              <w:t>41,650</w:t>
            </w:r>
            <w:r>
              <w:rPr>
                <w:sz w:val="24"/>
                <w:szCs w:val="24"/>
              </w:rPr>
              <w:t xml:space="preserve"> * KAVT) + (55 * </w:t>
            </w:r>
            <w:r w:rsidRPr="00727F73">
              <w:rPr>
                <w:b/>
                <w:bCs/>
                <w:sz w:val="24"/>
                <w:szCs w:val="24"/>
              </w:rPr>
              <w:t>888,398</w:t>
            </w:r>
            <w:r>
              <w:rPr>
                <w:sz w:val="24"/>
                <w:szCs w:val="24"/>
              </w:rPr>
              <w:t xml:space="preserve"> * KANT)</w:t>
            </w:r>
          </w:p>
        </w:tc>
      </w:tr>
      <w:tr w:rsidR="00AF15B0" w:rsidRPr="006F1966" w:rsidTr="000D118F">
        <w:trPr>
          <w:trHeight w:val="799"/>
          <w:jc w:val="center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5B0" w:rsidRPr="00357671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color w:val="000000"/>
                <w:sz w:val="24"/>
                <w:szCs w:val="24"/>
              </w:rPr>
            </w:pPr>
            <w:r w:rsidRPr="00357671">
              <w:rPr>
                <w:color w:val="000000"/>
                <w:sz w:val="24"/>
                <w:szCs w:val="24"/>
              </w:rPr>
              <w:t>Vzorec pre výpočet celkovej ceny použitý pri elektronickej aukcii</w:t>
            </w:r>
          </w:p>
        </w:tc>
        <w:tc>
          <w:tcPr>
            <w:tcW w:w="454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5B0" w:rsidRPr="00F5168A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66" w:hanging="352"/>
              <w:jc w:val="center"/>
              <w:rPr>
                <w:color w:val="FF0000"/>
                <w:sz w:val="24"/>
                <w:szCs w:val="24"/>
              </w:rPr>
            </w:pPr>
          </w:p>
          <w:p w:rsidR="00AF15B0" w:rsidRPr="00F5168A" w:rsidRDefault="00AF15B0" w:rsidP="000D118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66" w:hanging="352"/>
              <w:jc w:val="center"/>
              <w:rPr>
                <w:color w:val="FF0000"/>
                <w:sz w:val="24"/>
                <w:szCs w:val="24"/>
              </w:rPr>
            </w:pPr>
            <w:r w:rsidRPr="004B4FB1">
              <w:rPr>
                <w:sz w:val="24"/>
                <w:szCs w:val="24"/>
              </w:rPr>
              <w:t>CC = (</w:t>
            </w:r>
            <w:r w:rsidRPr="00727F73">
              <w:rPr>
                <w:b/>
                <w:bCs/>
                <w:sz w:val="24"/>
                <w:szCs w:val="24"/>
              </w:rPr>
              <w:t>365 852,52</w:t>
            </w:r>
            <w:r w:rsidRPr="00832BEA">
              <w:rPr>
                <w:color w:val="FF0000"/>
                <w:sz w:val="24"/>
                <w:szCs w:val="24"/>
              </w:rPr>
              <w:t xml:space="preserve"> </w:t>
            </w:r>
            <w:r w:rsidRPr="004B4FB1">
              <w:rPr>
                <w:sz w:val="24"/>
                <w:szCs w:val="24"/>
              </w:rPr>
              <w:t xml:space="preserve">* </w:t>
            </w:r>
            <w:r w:rsidRPr="004B4FB1">
              <w:rPr>
                <w:b/>
                <w:sz w:val="24"/>
                <w:szCs w:val="24"/>
              </w:rPr>
              <w:t>KJT</w:t>
            </w:r>
            <w:r w:rsidRPr="004B4FB1">
              <w:rPr>
                <w:sz w:val="24"/>
                <w:szCs w:val="24"/>
              </w:rPr>
              <w:t>) + (</w:t>
            </w:r>
            <w:r w:rsidRPr="00727F73">
              <w:rPr>
                <w:b/>
                <w:bCs/>
                <w:sz w:val="24"/>
                <w:szCs w:val="24"/>
              </w:rPr>
              <w:t>113</w:t>
            </w:r>
            <w:r w:rsidRPr="00727F73">
              <w:rPr>
                <w:b/>
                <w:color w:val="FF0000"/>
                <w:sz w:val="24"/>
                <w:szCs w:val="24"/>
              </w:rPr>
              <w:t> </w:t>
            </w:r>
            <w:r w:rsidRPr="00727F73">
              <w:rPr>
                <w:b/>
                <w:bCs/>
                <w:sz w:val="24"/>
                <w:szCs w:val="24"/>
              </w:rPr>
              <w:t>128,95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B4FB1">
              <w:rPr>
                <w:sz w:val="24"/>
                <w:szCs w:val="24"/>
              </w:rPr>
              <w:t xml:space="preserve">* </w:t>
            </w:r>
            <w:r w:rsidRPr="004B4FB1">
              <w:rPr>
                <w:b/>
                <w:sz w:val="24"/>
                <w:szCs w:val="24"/>
              </w:rPr>
              <w:t>KVT</w:t>
            </w:r>
            <w:r w:rsidRPr="004B4FB1">
              <w:rPr>
                <w:sz w:val="24"/>
                <w:szCs w:val="24"/>
              </w:rPr>
              <w:t>) + (</w:t>
            </w:r>
            <w:r w:rsidRPr="00727F73">
              <w:rPr>
                <w:b/>
                <w:bCs/>
                <w:sz w:val="24"/>
                <w:szCs w:val="24"/>
              </w:rPr>
              <w:t>104 875,98</w:t>
            </w:r>
            <w:r w:rsidRPr="00F66F46">
              <w:rPr>
                <w:color w:val="FF0000"/>
                <w:sz w:val="24"/>
                <w:szCs w:val="24"/>
              </w:rPr>
              <w:t xml:space="preserve"> </w:t>
            </w:r>
            <w:r w:rsidRPr="004B4FB1">
              <w:rPr>
                <w:sz w:val="24"/>
                <w:szCs w:val="24"/>
              </w:rPr>
              <w:t xml:space="preserve">* </w:t>
            </w:r>
            <w:r w:rsidRPr="004B4FB1">
              <w:rPr>
                <w:b/>
                <w:sz w:val="24"/>
                <w:szCs w:val="24"/>
              </w:rPr>
              <w:t>KNT</w:t>
            </w:r>
            <w:r w:rsidRPr="004B4FB1">
              <w:rPr>
                <w:sz w:val="24"/>
                <w:szCs w:val="24"/>
              </w:rPr>
              <w:t>) + (</w:t>
            </w:r>
            <w:r w:rsidRPr="00727F73">
              <w:rPr>
                <w:b/>
                <w:bCs/>
                <w:sz w:val="24"/>
                <w:szCs w:val="24"/>
              </w:rPr>
              <w:t>274 008,68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B4FB1">
              <w:rPr>
                <w:sz w:val="24"/>
                <w:szCs w:val="24"/>
              </w:rPr>
              <w:t xml:space="preserve">* </w:t>
            </w:r>
            <w:r w:rsidRPr="004B4FB1">
              <w:rPr>
                <w:b/>
                <w:sz w:val="24"/>
                <w:szCs w:val="24"/>
              </w:rPr>
              <w:t>KVO</w:t>
            </w:r>
            <w:r w:rsidRPr="004B4FB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+ (</w:t>
            </w:r>
            <w:r w:rsidRPr="00727F73">
              <w:rPr>
                <w:b/>
                <w:bCs/>
                <w:sz w:val="24"/>
                <w:szCs w:val="24"/>
              </w:rPr>
              <w:t>2 290,75</w:t>
            </w:r>
            <w:r>
              <w:rPr>
                <w:sz w:val="24"/>
                <w:szCs w:val="24"/>
              </w:rPr>
              <w:t xml:space="preserve"> * KAVT) + (</w:t>
            </w:r>
            <w:r w:rsidRPr="00727F73">
              <w:rPr>
                <w:b/>
                <w:bCs/>
                <w:sz w:val="24"/>
                <w:szCs w:val="24"/>
              </w:rPr>
              <w:t>48 861,89</w:t>
            </w:r>
            <w:r>
              <w:rPr>
                <w:sz w:val="24"/>
                <w:szCs w:val="24"/>
              </w:rPr>
              <w:t xml:space="preserve"> * KANT)</w:t>
            </w:r>
          </w:p>
        </w:tc>
      </w:tr>
    </w:tbl>
    <w:p w:rsidR="00AF15B0" w:rsidRPr="00D76194" w:rsidRDefault="00AF15B0" w:rsidP="00AF15B0">
      <w:pPr>
        <w:autoSpaceDE w:val="0"/>
        <w:autoSpaceDN w:val="0"/>
        <w:adjustRightInd w:val="0"/>
        <w:spacing w:before="120"/>
        <w:rPr>
          <w:b/>
          <w:highlight w:val="cyan"/>
        </w:rPr>
      </w:pPr>
    </w:p>
    <w:p w:rsidR="00AF15B0" w:rsidRPr="004F48F2" w:rsidRDefault="00AF15B0" w:rsidP="00AF15B0">
      <w:pPr>
        <w:tabs>
          <w:tab w:val="left" w:pos="360"/>
        </w:tabs>
        <w:rPr>
          <w:b/>
        </w:rPr>
      </w:pPr>
      <w:r w:rsidRPr="004F48F2">
        <w:rPr>
          <w:b/>
        </w:rPr>
        <w:t xml:space="preserve">Maximálne prípustná výška jednotlivých </w:t>
      </w:r>
      <w:proofErr w:type="spellStart"/>
      <w:r w:rsidRPr="004F48F2">
        <w:rPr>
          <w:b/>
        </w:rPr>
        <w:t>multiplikatívnych</w:t>
      </w:r>
      <w:proofErr w:type="spellEnd"/>
      <w:r w:rsidRPr="004F48F2">
        <w:rPr>
          <w:b/>
        </w:rPr>
        <w:t xml:space="preserve"> koeficientov je nasledovná:</w:t>
      </w:r>
    </w:p>
    <w:p w:rsidR="00AF15B0" w:rsidRDefault="00AF15B0" w:rsidP="00AF15B0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KJT max = 1,15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15B0" w:rsidRDefault="00AF15B0" w:rsidP="00AF15B0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KVT max = 1,25</w:t>
      </w:r>
      <w:r>
        <w:rPr>
          <w:sz w:val="24"/>
          <w:szCs w:val="24"/>
        </w:rPr>
        <w:tab/>
      </w:r>
    </w:p>
    <w:p w:rsidR="00AF15B0" w:rsidRDefault="00AF15B0" w:rsidP="00AF15B0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KNT max = 0,90</w:t>
      </w:r>
      <w:r>
        <w:rPr>
          <w:sz w:val="24"/>
          <w:szCs w:val="24"/>
        </w:rPr>
        <w:tab/>
      </w:r>
    </w:p>
    <w:p w:rsidR="00AF15B0" w:rsidRDefault="00AF15B0" w:rsidP="00AF15B0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KVO max = 0,95</w:t>
      </w:r>
      <w:r>
        <w:rPr>
          <w:sz w:val="24"/>
          <w:szCs w:val="24"/>
        </w:rPr>
        <w:tab/>
      </w:r>
    </w:p>
    <w:p w:rsidR="00AF15B0" w:rsidRDefault="00AF15B0" w:rsidP="00AF15B0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KAVT max = 1,15</w:t>
      </w:r>
      <w:r>
        <w:rPr>
          <w:sz w:val="24"/>
          <w:szCs w:val="24"/>
        </w:rPr>
        <w:tab/>
      </w:r>
    </w:p>
    <w:p w:rsidR="00AF15B0" w:rsidRDefault="00AF15B0" w:rsidP="00AF15B0">
      <w:pPr>
        <w:spacing w:after="160" w:line="259" w:lineRule="auto"/>
        <w:jc w:val="left"/>
        <w:rPr>
          <w:sz w:val="24"/>
          <w:szCs w:val="24"/>
        </w:rPr>
      </w:pPr>
      <w:bookmarkStart w:id="14" w:name="_GoBack"/>
      <w:bookmarkEnd w:id="14"/>
      <w:r>
        <w:rPr>
          <w:sz w:val="24"/>
          <w:szCs w:val="24"/>
        </w:rPr>
        <w:t>KANT max = 1,15</w:t>
      </w:r>
    </w:p>
    <w:p w:rsidR="00AF15B0" w:rsidRDefault="00AF15B0"/>
    <w:sectPr w:rsidR="00AF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C0C"/>
    <w:multiLevelType w:val="multilevel"/>
    <w:tmpl w:val="7C042FE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B0"/>
    <w:rsid w:val="00A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4AB9"/>
  <w15:chartTrackingRefBased/>
  <w15:docId w15:val="{D1C0F38A-01B2-4E82-B4A3-AF881B01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F15B0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1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1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autoRedefine/>
    <w:qFormat/>
    <w:rsid w:val="00AF15B0"/>
    <w:pPr>
      <w:tabs>
        <w:tab w:val="left" w:pos="0"/>
        <w:tab w:val="left" w:pos="360"/>
      </w:tabs>
      <w:spacing w:before="240" w:after="240" w:line="240" w:lineRule="auto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AF15B0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customStyle="1" w:styleId="Default">
    <w:name w:val="Default"/>
    <w:rsid w:val="00AF15B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5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Hudecová</dc:creator>
  <cp:keywords/>
  <dc:description/>
  <cp:lastModifiedBy>Petra Hudecová</cp:lastModifiedBy>
  <cp:revision>1</cp:revision>
  <dcterms:created xsi:type="dcterms:W3CDTF">2019-09-25T11:39:00Z</dcterms:created>
  <dcterms:modified xsi:type="dcterms:W3CDTF">2019-09-25T11:41:00Z</dcterms:modified>
</cp:coreProperties>
</file>