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Pr="00650720" w:rsidRDefault="00A319D7" w:rsidP="00A319D7"/>
    <w:p w14:paraId="0BF15781" w14:textId="4A6B451A" w:rsidR="001A15A5" w:rsidRPr="00650720" w:rsidRDefault="001A15A5" w:rsidP="00F472D6">
      <w:pPr>
        <w:rPr>
          <w:b/>
          <w:u w:val="single"/>
        </w:rPr>
      </w:pPr>
      <w:r w:rsidRPr="00650720">
        <w:rPr>
          <w:b/>
          <w:u w:val="single"/>
        </w:rPr>
        <w:t>Odôvodnenie nerozdelenia zákazky podľa ustanovenia § 28 ods. 2 ZVO</w:t>
      </w:r>
    </w:p>
    <w:p w14:paraId="31CA6855" w14:textId="2B6FC207" w:rsidR="008F7574" w:rsidRPr="00650720" w:rsidRDefault="008F7574" w:rsidP="00F472D6">
      <w:r w:rsidRPr="00650720">
        <w:t>Verejný obstarávateľ má podľa ustanovenia § 28 ods. 2 zákona č. 343/2015 Z. z. o verejnom obstarávaní a o zmene a doplnení niektorých zákonov v znení neskorších predpisov (ďalej aj ako „ZVO“) povinnosť</w:t>
      </w:r>
      <w:r w:rsidR="005275B6" w:rsidRPr="00650720">
        <w:t>,</w:t>
      </w:r>
      <w:r w:rsidRPr="00650720">
        <w:t xml:space="preserve"> v prípade, ak </w:t>
      </w:r>
      <w:r w:rsidRPr="00650720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 w:rsidRPr="00650720">
        <w:t>.</w:t>
      </w:r>
    </w:p>
    <w:p w14:paraId="4A3348D2" w14:textId="34CA7833" w:rsidR="008F7574" w:rsidRPr="00650720" w:rsidRDefault="00F472D6" w:rsidP="008F7574">
      <w:r w:rsidRPr="00650720">
        <w:t>V nadväznosti na vyššie uvedenú povinnosť Verejný obstarávateľ uvádza nasledovné odôvodnenie nerozdelenia zákazky na časti:</w:t>
      </w:r>
    </w:p>
    <w:p w14:paraId="516C6439" w14:textId="36847873" w:rsidR="002433B7" w:rsidRDefault="00A319D7" w:rsidP="00F472D6">
      <w:r w:rsidRPr="00650720">
        <w:t xml:space="preserve">Predmet zákazky je koncipovaný ako </w:t>
      </w:r>
      <w:r w:rsidR="00DB393E">
        <w:t xml:space="preserve">zvýšenie energetickej efektívnosti </w:t>
      </w:r>
      <w:r w:rsidR="00893E5F" w:rsidRPr="00893E5F">
        <w:t xml:space="preserve">študentského domova </w:t>
      </w:r>
      <w:bookmarkStart w:id="0" w:name="_GoBack"/>
      <w:bookmarkEnd w:id="0"/>
      <w:r w:rsidR="00DB393E" w:rsidRPr="00DB393E">
        <w:t>Ekonomickej univerzity v Bratislave formou garantovanej energetickej služby</w:t>
      </w:r>
      <w:r w:rsidR="00DB393E">
        <w:t xml:space="preserve"> podľa zákona č. </w:t>
      </w:r>
      <w:r w:rsidR="002433B7" w:rsidRPr="00D46D28">
        <w:t>321/2014 Z. z. o energetickej efektívnosti a o zmene a doplnení niektorých zákonov v znení neskorších predpisov</w:t>
      </w:r>
      <w:r w:rsidR="002433B7">
        <w:t xml:space="preserve">. </w:t>
      </w:r>
    </w:p>
    <w:p w14:paraId="307B4CB6" w14:textId="0C435DE0" w:rsidR="002433B7" w:rsidRPr="006D75A2" w:rsidRDefault="002433B7" w:rsidP="002433B7">
      <w:r w:rsidRPr="006D75A2">
        <w:t>Prioritným cieľom je zabezpečiť tieto rekonštrukcie</w:t>
      </w:r>
      <w:r>
        <w:t xml:space="preserve"> </w:t>
      </w:r>
      <w:r w:rsidRPr="006D75A2">
        <w:t>prostredníctvom tzv. garantovanej energetickej služby na základe zmluvy o energetickej efektívnosti uzatvorenej podľa ustanovení § 17 a § 18 Zákona o energetickej efektívnosti. Podľa ustanovenia § 18 ods. 6 Zákona o energetickej efektívnosti pokiaľ je zmluva o energetickej efektívnosti pre verejný sektor v súlade so vzorom zmluvy o energetickej efektívnosti pre verejný sektor a metodikou na prípravu a realizáciu garantovanej energetickej služby pre verejný sektor, považuje sa za zmluvu o energetickej efektívnosti pre verejný sektor, ktorá nemá dôsledky na výšku dlhu verejnej správy v jednotnej metodike platnej pre Európsku úniu.</w:t>
      </w:r>
    </w:p>
    <w:p w14:paraId="155590F1" w14:textId="2034F0CF" w:rsidR="005A6C40" w:rsidRDefault="005A357F" w:rsidP="005F2F88">
      <w:r>
        <w:t>Parametre projektu</w:t>
      </w:r>
      <w:r w:rsidR="005F2F88">
        <w:t xml:space="preserve"> </w:t>
      </w:r>
      <w:r>
        <w:t xml:space="preserve">majú potenciál generovať dostatočné úspory na to, aby mohli byť </w:t>
      </w:r>
      <w:r w:rsidR="00FB1D20">
        <w:t xml:space="preserve">implementované na základe zmluvy o energetickej efektívnosti pre verejný sektor podľa Zákona o energetickej efektívnosti tak, aby nemali </w:t>
      </w:r>
      <w:r w:rsidR="00FB1D20" w:rsidRPr="005A357F">
        <w:t>dôsledky na výšku dlhu verejnej správy v jednotnej metodike platnej pre Európsku úniu</w:t>
      </w:r>
      <w:r w:rsidR="00FB1D20">
        <w:t xml:space="preserve">. </w:t>
      </w:r>
      <w:r w:rsidR="001929DB" w:rsidRPr="001929DB">
        <w:t>Hlavnou výhodou navrhovaného spôsobu je pre Verejného obstarávateľa istota konečného výsledku rekonštrukcie v zmysle reálneho dosiahnutia úspor. Neoddeliteľnou súčasťou obchodných podmienok je totiž záruka poskytovateľa za dosiahnutie úspor energetických nákladov (elektrina, zemný plyn, teplo a studená voda), čo v praxi znamená, že ak poskytovateľ (t .j. úspešný uchádzač) nezabezpečí dosiahnutie úspor v dohodnutom objeme, je povinný tento výpadok kompenzovať – či už zmluvnou pokutou, alebo znížením pravidelných platieb zo strany Verejného obstarávateľa. Verejný obstarávateľ tak v konečnom dôsledku dostáva nielen zmodernizované zariadenia, ale zmodernizované zariadenia s dohodnutými požadovanými prevádzkovými výsledkami. Zároveň investičný náklad na realizáciu opatrení spadajúcich pod zmluvu o energetickej efektívnosti nemá vplyv na výšku verejného dlhu</w:t>
      </w:r>
    </w:p>
    <w:p w14:paraId="5AD4354E" w14:textId="60337BB3" w:rsidR="00E91813" w:rsidRDefault="009A1DE4" w:rsidP="00F472D6">
      <w:r>
        <w:t>Realizácia celej</w:t>
      </w:r>
      <w:r w:rsidR="00C3194B">
        <w:t xml:space="preserve"> zákazk</w:t>
      </w:r>
      <w:r>
        <w:t>y</w:t>
      </w:r>
      <w:r w:rsidR="00C3194B">
        <w:t xml:space="preserve"> </w:t>
      </w:r>
      <w:r w:rsidR="000835BD">
        <w:t xml:space="preserve">teda </w:t>
      </w:r>
      <w:r>
        <w:t>bude zakontrahovaná</w:t>
      </w:r>
      <w:r w:rsidR="00C3194B">
        <w:t xml:space="preserve"> na základe zmluvy o energetickej efektívnosti pre verejný sektor.</w:t>
      </w:r>
      <w:r w:rsidR="006D0341">
        <w:t xml:space="preserve"> </w:t>
      </w:r>
      <w:r w:rsidR="00E91813">
        <w:t>Vo k</w:t>
      </w:r>
      <w:r w:rsidR="000835BD">
        <w:t xml:space="preserve"> samotným aspektom zmluvného vzťahu a obsahu záväzkov zahrnutých do predmetu zákazky </w:t>
      </w:r>
      <w:r w:rsidR="00B9408B">
        <w:t xml:space="preserve">(zodpovednosť za vypracovanie dokumentácie, </w:t>
      </w:r>
      <w:r w:rsidR="00765C49">
        <w:t xml:space="preserve">záruka za prevádzkyschopnosť zariadení počas celej doby trvania zmluvy, opravy a údržba a revízie zariadení počas celej doby trvania zmluvy a pod.) </w:t>
      </w:r>
      <w:r w:rsidR="00251334">
        <w:t xml:space="preserve">Verejný obstarávateľ uvádza, že tieto vychádzajú priamo zo vzorovej zmluvy o energetickej efektívnosti pre verejný sektor a platnej jednotnej metodiky </w:t>
      </w:r>
      <w:r w:rsidR="00251334" w:rsidRPr="005A357F">
        <w:t>pre Európsku úniu</w:t>
      </w:r>
      <w:r w:rsidR="00251334">
        <w:t xml:space="preserve"> a vychádza z usmernenia Eurostatu k</w:t>
      </w:r>
      <w:r w:rsidR="00B9408B">
        <w:t> povinným náležitostiam a parametrom zmluvy o energetickej efektívnosti pre verejný sektor</w:t>
      </w:r>
      <w:r w:rsidR="000835BD">
        <w:t>, a nie je možné sa od nich odlíšiť</w:t>
      </w:r>
      <w:r w:rsidR="00B9408B">
        <w:t>.</w:t>
      </w:r>
    </w:p>
    <w:p w14:paraId="4BF28E21" w14:textId="3F7E829E" w:rsidR="00DF60A3" w:rsidRDefault="000835BD" w:rsidP="00EC3AD8">
      <w:r>
        <w:t xml:space="preserve">Z tohto dôvodu Verejný obstarávateľ </w:t>
      </w:r>
      <w:r w:rsidR="001929DB">
        <w:t>obstaráva celý predmet zákazky ako jednu zákazku</w:t>
      </w:r>
      <w:r w:rsidR="00EC3AD8">
        <w:t xml:space="preserve"> </w:t>
      </w:r>
      <w:r w:rsidR="00783433" w:rsidRPr="00650720">
        <w:t xml:space="preserve">a to najmä </w:t>
      </w:r>
      <w:r w:rsidR="002674B0" w:rsidRPr="00650720">
        <w:t xml:space="preserve"> </w:t>
      </w:r>
      <w:r w:rsidR="002D2ECA" w:rsidRPr="00650720">
        <w:t>s ohľadom na</w:t>
      </w:r>
      <w:r w:rsidR="00EC3AD8">
        <w:t xml:space="preserve"> </w:t>
      </w:r>
      <w:r w:rsidR="00081708" w:rsidRPr="00650720">
        <w:t>u</w:t>
      </w:r>
      <w:r w:rsidR="002D2ECA" w:rsidRPr="00650720">
        <w:t>držanie záruky za výsledok – t. j. nie len dodanie samotného diela</w:t>
      </w:r>
      <w:r w:rsidR="005275B6" w:rsidRPr="00650720">
        <w:t>,</w:t>
      </w:r>
      <w:r w:rsidR="002D2ECA" w:rsidRPr="00650720">
        <w:t xml:space="preserve"> ale aj udržanie </w:t>
      </w:r>
      <w:r w:rsidR="001640DE">
        <w:t>garantovaných parametrov (najmä garantovaných úspor) počas celej doby trvania zmluvy</w:t>
      </w:r>
      <w:r w:rsidR="00EC3AD8">
        <w:t>.</w:t>
      </w:r>
      <w:r w:rsidR="005277EC" w:rsidRPr="00650720">
        <w:t xml:space="preserve"> </w:t>
      </w:r>
    </w:p>
    <w:p w14:paraId="7A804230" w14:textId="6C615A9C" w:rsidR="00A319D7" w:rsidRPr="00650720" w:rsidRDefault="00A319D7" w:rsidP="00A319D7"/>
    <w:sectPr w:rsidR="00A319D7" w:rsidRPr="00650720" w:rsidSect="00080CA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5A066E3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 w:rsidR="00F95A65">
      <w:rPr>
        <w:rFonts w:eastAsiaTheme="majorEastAsia" w:cstheme="majorBidi"/>
        <w:b/>
        <w:noProof/>
        <w:color w:val="000000" w:themeColor="text1"/>
        <w:spacing w:val="30"/>
      </w:rPr>
      <w:t>7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80CA4"/>
    <w:rsid w:val="00081708"/>
    <w:rsid w:val="000835BD"/>
    <w:rsid w:val="0014550D"/>
    <w:rsid w:val="001640DE"/>
    <w:rsid w:val="00170F5E"/>
    <w:rsid w:val="0018226B"/>
    <w:rsid w:val="001929DB"/>
    <w:rsid w:val="001A15A5"/>
    <w:rsid w:val="001D7C47"/>
    <w:rsid w:val="001F6879"/>
    <w:rsid w:val="002140CA"/>
    <w:rsid w:val="002218B7"/>
    <w:rsid w:val="002433B7"/>
    <w:rsid w:val="0024597A"/>
    <w:rsid w:val="00251334"/>
    <w:rsid w:val="00252E5F"/>
    <w:rsid w:val="002674B0"/>
    <w:rsid w:val="002C64A9"/>
    <w:rsid w:val="002D2ECA"/>
    <w:rsid w:val="002F6206"/>
    <w:rsid w:val="003777EF"/>
    <w:rsid w:val="0039737E"/>
    <w:rsid w:val="003D523B"/>
    <w:rsid w:val="004317CB"/>
    <w:rsid w:val="004D0D51"/>
    <w:rsid w:val="004D4489"/>
    <w:rsid w:val="005233D7"/>
    <w:rsid w:val="005275B6"/>
    <w:rsid w:val="005277EC"/>
    <w:rsid w:val="005A357F"/>
    <w:rsid w:val="005A6C40"/>
    <w:rsid w:val="005C3C3B"/>
    <w:rsid w:val="005C60A7"/>
    <w:rsid w:val="005E2D3D"/>
    <w:rsid w:val="005F2F88"/>
    <w:rsid w:val="00650720"/>
    <w:rsid w:val="006A08E9"/>
    <w:rsid w:val="006D0341"/>
    <w:rsid w:val="00707DF8"/>
    <w:rsid w:val="0074260E"/>
    <w:rsid w:val="00765C49"/>
    <w:rsid w:val="00783433"/>
    <w:rsid w:val="007C26B7"/>
    <w:rsid w:val="00842761"/>
    <w:rsid w:val="008570D5"/>
    <w:rsid w:val="00883530"/>
    <w:rsid w:val="00893E5F"/>
    <w:rsid w:val="008F7574"/>
    <w:rsid w:val="009A1DE4"/>
    <w:rsid w:val="009B7FD8"/>
    <w:rsid w:val="00A319D7"/>
    <w:rsid w:val="00A809A3"/>
    <w:rsid w:val="00B34A94"/>
    <w:rsid w:val="00B4357F"/>
    <w:rsid w:val="00B9408B"/>
    <w:rsid w:val="00BD5833"/>
    <w:rsid w:val="00BF53F4"/>
    <w:rsid w:val="00C11FFB"/>
    <w:rsid w:val="00C3194B"/>
    <w:rsid w:val="00C64C9C"/>
    <w:rsid w:val="00C72479"/>
    <w:rsid w:val="00CC438F"/>
    <w:rsid w:val="00CC454D"/>
    <w:rsid w:val="00CD39DA"/>
    <w:rsid w:val="00D72A70"/>
    <w:rsid w:val="00DB2F49"/>
    <w:rsid w:val="00DB393E"/>
    <w:rsid w:val="00DE48A7"/>
    <w:rsid w:val="00DF60A3"/>
    <w:rsid w:val="00E16482"/>
    <w:rsid w:val="00E465D0"/>
    <w:rsid w:val="00E84FC3"/>
    <w:rsid w:val="00E91813"/>
    <w:rsid w:val="00EC2F9E"/>
    <w:rsid w:val="00EC3AD8"/>
    <w:rsid w:val="00F472D6"/>
    <w:rsid w:val="00F95A65"/>
    <w:rsid w:val="00FA4976"/>
    <w:rsid w:val="00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3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35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530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530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30"/>
    <w:rPr>
      <w:rFonts w:ascii="Segoe UI" w:hAnsi="Segoe UI" w:cs="Segoe UI"/>
      <w:sz w:val="18"/>
      <w:szCs w:val="18"/>
    </w:rPr>
  </w:style>
  <w:style w:type="paragraph" w:customStyle="1" w:styleId="ADBEENumberedlist">
    <w:name w:val="ADBEE Numbered list"/>
    <w:basedOn w:val="Normal"/>
    <w:rsid w:val="002433B7"/>
    <w:pPr>
      <w:numPr>
        <w:numId w:val="5"/>
      </w:numPr>
      <w:spacing w:line="288" w:lineRule="auto"/>
      <w:ind w:right="38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17</cp:revision>
  <dcterms:created xsi:type="dcterms:W3CDTF">2019-04-30T09:32:00Z</dcterms:created>
  <dcterms:modified xsi:type="dcterms:W3CDTF">2019-09-09T09:25:00Z</dcterms:modified>
</cp:coreProperties>
</file>