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8A034F4" w14:textId="551C8E7A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Pripojenie a poskytovanie verejných elektronických komunikačných služieb vrátane súvisiacej technickej infraštruktúry _ CP 41/2023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751C3BBF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133B7A8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>
        <w:rPr>
          <w:rFonts w:ascii="Garamond" w:hAnsi="Garamond"/>
          <w:sz w:val="22"/>
          <w:szCs w:val="22"/>
        </w:rPr>
        <w:t>Alena Morvayová</w:t>
      </w:r>
    </w:p>
    <w:p w14:paraId="498ABE2A" w14:textId="603820AA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>+421 2 5950 1374</w:t>
      </w:r>
    </w:p>
    <w:p w14:paraId="1BEF414F" w14:textId="61EE6F43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A69A2" w:rsidRPr="005B387B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4BD3253D" w14:textId="77777777" w:rsidR="005A69A2" w:rsidRPr="005A69A2" w:rsidRDefault="00590035" w:rsidP="00590035">
      <w:pPr>
        <w:pStyle w:val="Bezriadkovania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5A69A2">
        <w:rPr>
          <w:rFonts w:ascii="Garamond" w:hAnsi="Garamond"/>
        </w:rPr>
        <w:t>Pripojenie a poskytovanie verejných elektronických komunikačných služieb vrátane súvisiacej</w:t>
      </w:r>
    </w:p>
    <w:p w14:paraId="71F1D792" w14:textId="44A8C231" w:rsidR="00590035" w:rsidRPr="00590035" w:rsidRDefault="005A69A2" w:rsidP="005A69A2">
      <w:pPr>
        <w:pStyle w:val="Bezriadkovania"/>
        <w:ind w:left="36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technickej infraštruktúry</w:t>
      </w:r>
    </w:p>
    <w:p w14:paraId="65E7EAB5" w14:textId="79685573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400178">
        <w:rPr>
          <w:rFonts w:ascii="Garamond" w:hAnsi="Garamond"/>
        </w:rPr>
        <w:t xml:space="preserve">CP </w:t>
      </w:r>
      <w:r w:rsidR="005A69A2">
        <w:rPr>
          <w:rFonts w:ascii="Garamond" w:hAnsi="Garamond"/>
        </w:rPr>
        <w:t>41</w:t>
      </w:r>
      <w:r w:rsidRPr="00400178">
        <w:rPr>
          <w:rFonts w:ascii="Garamond" w:hAnsi="Garamond"/>
        </w:rPr>
        <w:t>/2023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77777777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Pr="00A038F2">
        <w:rPr>
          <w:rFonts w:ascii="Garamond" w:hAnsi="Garamond"/>
        </w:rPr>
        <w:t>služba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715812D0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Dopravn</w:t>
      </w:r>
      <w:r w:rsidR="005A69A2">
        <w:rPr>
          <w:rFonts w:ascii="Garamond" w:hAnsi="Garamond"/>
          <w:bCs/>
        </w:rPr>
        <w:t>ý</w:t>
      </w:r>
      <w:r w:rsidR="00A038F2" w:rsidRPr="00A038F2">
        <w:rPr>
          <w:rFonts w:ascii="Garamond" w:hAnsi="Garamond"/>
          <w:bCs/>
        </w:rPr>
        <w:t xml:space="preserve"> podnik Bratislava, a.</w:t>
      </w:r>
      <w:r w:rsidR="005A69A2">
        <w:rPr>
          <w:rFonts w:ascii="Garamond" w:hAnsi="Garamond"/>
          <w:bCs/>
        </w:rPr>
        <w:t xml:space="preserve"> </w:t>
      </w:r>
      <w:r w:rsidR="00A038F2" w:rsidRPr="00A038F2">
        <w:rPr>
          <w:rFonts w:ascii="Garamond" w:hAnsi="Garamond"/>
          <w:bCs/>
        </w:rPr>
        <w:t>s. na území Hlavného mesta Bratislava</w:t>
      </w:r>
      <w:r w:rsidR="00887CE4" w:rsidRPr="00A038F2">
        <w:rPr>
          <w:rFonts w:ascii="Garamond" w:hAnsi="Garamond"/>
          <w:bCs/>
        </w:rPr>
        <w:t>.</w:t>
      </w:r>
    </w:p>
    <w:p w14:paraId="30D3950F" w14:textId="77777777" w:rsidR="00A038F2" w:rsidRPr="00A038F2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01BC1966" w:rsidR="00590035" w:rsidRPr="00A038F2" w:rsidRDefault="00590035" w:rsidP="00A038F2">
      <w:pPr>
        <w:pStyle w:val="Bezriadkovania"/>
        <w:tabs>
          <w:tab w:val="left" w:pos="426"/>
        </w:tabs>
        <w:ind w:left="426"/>
        <w:jc w:val="both"/>
        <w:rPr>
          <w:rFonts w:ascii="Garamond" w:hAnsi="Garamond"/>
          <w:bCs/>
        </w:rPr>
      </w:pPr>
      <w:r w:rsidRPr="00A038F2">
        <w:rPr>
          <w:rFonts w:ascii="Garamond" w:hAnsi="Garamond"/>
          <w:bCs/>
        </w:rPr>
        <w:t xml:space="preserve">Typ zmluvy: </w:t>
      </w:r>
      <w:r w:rsidR="00AB3B93">
        <w:rPr>
          <w:rFonts w:ascii="Garamond" w:hAnsi="Garamond"/>
          <w:bCs/>
        </w:rPr>
        <w:t>Rámcová dohoda</w:t>
      </w:r>
      <w:r w:rsidR="00DF532C">
        <w:rPr>
          <w:rFonts w:ascii="Garamond" w:hAnsi="Garamond"/>
          <w:bCs/>
        </w:rPr>
        <w:t xml:space="preserve"> o poskytovaní služieb</w:t>
      </w:r>
      <w:r w:rsidR="00BE6242" w:rsidRPr="00A038F2">
        <w:rPr>
          <w:rFonts w:ascii="Garamond" w:hAnsi="Garamond"/>
          <w:bCs/>
        </w:rPr>
        <w:t xml:space="preserve">. </w:t>
      </w:r>
    </w:p>
    <w:p w14:paraId="627168E3" w14:textId="1B3E7A54" w:rsidR="00F210CB" w:rsidRDefault="00F210CB" w:rsidP="00F210CB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DF532C">
        <w:rPr>
          <w:rFonts w:ascii="Garamond" w:hAnsi="Garamond"/>
          <w:bCs/>
        </w:rPr>
        <w:t>36 mesiacov</w:t>
      </w:r>
    </w:p>
    <w:p w14:paraId="52C74D80" w14:textId="12ABAD47" w:rsidR="00590035" w:rsidRDefault="00590035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="0075165E" w:rsidRPr="0075165E">
        <w:rPr>
          <w:rFonts w:ascii="Garamond" w:hAnsi="Garamond"/>
          <w:bCs/>
        </w:rPr>
        <w:t xml:space="preserve">Lehota </w:t>
      </w:r>
      <w:r w:rsidR="0075165E">
        <w:rPr>
          <w:rFonts w:ascii="Garamond" w:hAnsi="Garamond"/>
          <w:bCs/>
        </w:rPr>
        <w:t>poskytnutia služieb</w:t>
      </w:r>
      <w:r w:rsidR="0075165E" w:rsidRPr="0075165E">
        <w:rPr>
          <w:rFonts w:ascii="Garamond" w:hAnsi="Garamond"/>
          <w:bCs/>
        </w:rPr>
        <w:t xml:space="preserve">: </w:t>
      </w:r>
      <w:r w:rsidR="00FB6598" w:rsidRPr="00FB6598">
        <w:rPr>
          <w:rFonts w:ascii="Garamond" w:hAnsi="Garamond"/>
          <w:bCs/>
        </w:rPr>
        <w:t xml:space="preserve">do </w:t>
      </w:r>
      <w:r w:rsidR="00DF532C">
        <w:rPr>
          <w:rFonts w:ascii="Garamond" w:hAnsi="Garamond"/>
          <w:bCs/>
        </w:rPr>
        <w:t>3 mesiacov odo dňa objednávky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76A93578" w14:textId="77777777" w:rsidR="00590035" w:rsidRPr="00400178" w:rsidRDefault="00590035" w:rsidP="00590035">
      <w:pPr>
        <w:ind w:left="360"/>
        <w:rPr>
          <w:rFonts w:ascii="Garamond" w:hAnsi="Garamond"/>
          <w:bCs/>
          <w:i/>
          <w:sz w:val="22"/>
          <w:szCs w:val="22"/>
        </w:rPr>
      </w:pPr>
    </w:p>
    <w:p w14:paraId="579B7A82" w14:textId="3D375ACF" w:rsidR="00DF532C" w:rsidRDefault="00DF532C" w:rsidP="00DF532C">
      <w:pPr>
        <w:ind w:left="360"/>
        <w:rPr>
          <w:rFonts w:ascii="Garamond" w:hAnsi="Garamond"/>
          <w:bCs/>
          <w:sz w:val="22"/>
          <w:szCs w:val="22"/>
        </w:rPr>
      </w:pPr>
      <w:r w:rsidRPr="00DF532C">
        <w:rPr>
          <w:rFonts w:ascii="Garamond" w:hAnsi="Garamond"/>
          <w:bCs/>
          <w:sz w:val="22"/>
          <w:szCs w:val="22"/>
        </w:rPr>
        <w:t xml:space="preserve">Predmetom zákazky je zriadenie internetového a dátového pripojenia na lokalitách obstarávateľa s dostupnosťou 99,9 %. Lokality musia byt priamo prepojené s centrálou obstarávateľa pomocou MPLS a IPSEC VPN tunelov. MPLS prepojenie vyžadujeme vo všetkých lokalitách podľa článku II. písmená A., C. a D.. Na lokalitách podľa článku II. písmeno B v vyžadujeme MPLS prepojenia a v prípade požiadavky na LLU a VDSL technológiu prepojenia akceptujeme aj IPSEC VPN pripojenie. Vo všetkých lokalitách podľa článku II. písmená A. a B. obstarávateľ vyžaduje aj záložné pripojenie. </w:t>
      </w:r>
    </w:p>
    <w:p w14:paraId="4446BAC7" w14:textId="4367BC07" w:rsidR="0014633D" w:rsidRPr="0014633D" w:rsidRDefault="0014633D" w:rsidP="0014633D">
      <w:pPr>
        <w:ind w:left="360"/>
        <w:rPr>
          <w:rFonts w:ascii="Garamond" w:hAnsi="Garamond"/>
          <w:bCs/>
          <w:i/>
          <w:iCs/>
          <w:color w:val="000000"/>
          <w:sz w:val="22"/>
          <w:szCs w:val="22"/>
        </w:rPr>
      </w:pPr>
      <w:r w:rsidRPr="0014633D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Predmet zákazky je ďalej bližšie špecifikovaný v prílohe č. 1_Opis predmetu zákazky 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39E94E4F" w14:textId="776A4D32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9A2FBB">
        <w:rPr>
          <w:rFonts w:ascii="Garamond" w:hAnsi="Garamond"/>
          <w:bCs/>
        </w:rPr>
        <w:t>64216110-7 Služby elektronickej výmeny údajov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61AD98EC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9A2FBB">
        <w:rPr>
          <w:rFonts w:ascii="Garamond" w:hAnsi="Garamond"/>
          <w:b/>
        </w:rPr>
        <w:t>430 000,00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0CF2CECA" w14:textId="77777777" w:rsidR="00590035" w:rsidRPr="00400178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lastRenderedPageBreak/>
        <w:t>Podmienky účasti:</w:t>
      </w:r>
    </w:p>
    <w:p w14:paraId="59F3DF7E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7DCF43BB" w14:textId="6D605666" w:rsidR="00590035" w:rsidRDefault="009A2FBB" w:rsidP="009A2FBB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4FA87411" w14:textId="77777777" w:rsidR="009A2FBB" w:rsidRPr="009A2FBB" w:rsidRDefault="009A2FBB" w:rsidP="009A2FBB">
      <w:pPr>
        <w:rPr>
          <w:rFonts w:ascii="Garamond" w:hAnsi="Garamond" w:cs="Calibri"/>
          <w:spacing w:val="-1"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08412359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F41D3D">
        <w:rPr>
          <w:rFonts w:ascii="Garamond" w:hAnsi="Garamond"/>
          <w:b/>
          <w:bCs/>
        </w:rPr>
        <w:t>29</w:t>
      </w:r>
      <w:r w:rsidR="00DF59E4">
        <w:rPr>
          <w:rFonts w:ascii="Garamond" w:hAnsi="Garamond"/>
          <w:b/>
          <w:bCs/>
        </w:rPr>
        <w:t>.</w:t>
      </w:r>
      <w:r w:rsidR="009A2FBB">
        <w:rPr>
          <w:rFonts w:ascii="Garamond" w:hAnsi="Garamond"/>
          <w:b/>
          <w:bCs/>
        </w:rPr>
        <w:t>12</w:t>
      </w:r>
      <w:r w:rsidR="00DF59E4">
        <w:rPr>
          <w:rFonts w:ascii="Garamond" w:hAnsi="Garamond"/>
          <w:b/>
          <w:bCs/>
        </w:rPr>
        <w:t>.</w:t>
      </w:r>
      <w:r w:rsidRPr="00400178">
        <w:rPr>
          <w:rFonts w:ascii="Garamond" w:hAnsi="Garamond"/>
          <w:b/>
          <w:bCs/>
        </w:rPr>
        <w:t xml:space="preserve"> </w:t>
      </w:r>
      <w:r w:rsidR="0075165E">
        <w:rPr>
          <w:rFonts w:ascii="Garamond" w:hAnsi="Garamond"/>
          <w:b/>
          <w:bCs/>
        </w:rPr>
        <w:t xml:space="preserve">2023 </w:t>
      </w:r>
      <w:r w:rsidRPr="00400178">
        <w:rPr>
          <w:rFonts w:ascii="Garamond" w:hAnsi="Garamond"/>
          <w:b/>
          <w:bCs/>
        </w:rPr>
        <w:t xml:space="preserve">do </w:t>
      </w:r>
      <w:r w:rsidR="009A2FBB">
        <w:rPr>
          <w:rFonts w:ascii="Garamond" w:hAnsi="Garamond"/>
          <w:b/>
          <w:bCs/>
        </w:rPr>
        <w:t>0</w:t>
      </w:r>
      <w:r w:rsidR="00F41D3D">
        <w:rPr>
          <w:rFonts w:ascii="Garamond" w:hAnsi="Garamond"/>
          <w:b/>
          <w:bCs/>
        </w:rPr>
        <w:t>9</w:t>
      </w:r>
      <w:r w:rsidRPr="00400178">
        <w:rPr>
          <w:rFonts w:ascii="Garamond" w:hAnsi="Garamond"/>
          <w:b/>
          <w:bCs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3C64FC03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>ponuky sa predkladajú prostredníctvom systému na elektronickú komunikáciu IS Josephine:</w:t>
      </w:r>
      <w:r w:rsidR="00DF59E4">
        <w:rPr>
          <w:rFonts w:ascii="Garamond" w:hAnsi="Garamond"/>
        </w:rPr>
        <w:t xml:space="preserve"> </w:t>
      </w:r>
      <w:hyperlink r:id="rId8" w:history="1">
        <w:r w:rsidR="009A2FBB" w:rsidRPr="005B387B">
          <w:rPr>
            <w:rStyle w:val="Hypertextovprepojenie"/>
            <w:rFonts w:ascii="Garamond" w:hAnsi="Garamond"/>
          </w:rPr>
          <w:t>https://josephine.proebiz.com/sk/tender/</w:t>
        </w:r>
        <w:r w:rsidR="00F46375">
          <w:rPr>
            <w:rStyle w:val="Hypertextovprepojenie"/>
            <w:rFonts w:ascii="Garamond" w:hAnsi="Garamond"/>
          </w:rPr>
          <w:t>50692</w:t>
        </w:r>
        <w:r w:rsidR="009A2FBB" w:rsidRPr="005B387B">
          <w:rPr>
            <w:rStyle w:val="Hypertextovprepojenie"/>
            <w:rFonts w:ascii="Garamond" w:hAnsi="Garamond"/>
          </w:rPr>
          <w:t>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77777777" w:rsidR="00590035" w:rsidRPr="00434747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.xls aj pdf (v pdf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4647C6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 w:rsidR="009A2FBB">
        <w:rPr>
          <w:rFonts w:ascii="Garamond" w:hAnsi="Garamond"/>
          <w:sz w:val="22"/>
          <w:szCs w:val="22"/>
        </w:rPr>
        <w:t xml:space="preserve">zmluvy o poskytovaní služieb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 xml:space="preserve">Lehota viazanosti cenovej ponuky: </w:t>
      </w:r>
      <w:r w:rsidR="00434747">
        <w:rPr>
          <w:rFonts w:ascii="Garamond" w:hAnsi="Garamond"/>
          <w:bCs/>
        </w:rPr>
        <w:t>6</w:t>
      </w:r>
      <w:r w:rsidRPr="00400178">
        <w:rPr>
          <w:rFonts w:ascii="Garamond" w:hAnsi="Garamond"/>
          <w:bCs/>
        </w:rPr>
        <w:t xml:space="preserve"> 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5A7AEF9A" w14:textId="6A7BDA2A" w:rsidR="00590035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9A2FBB">
        <w:rPr>
          <w:rFonts w:ascii="Garamond" w:hAnsi="Garamond"/>
        </w:rPr>
        <w:t>áno</w:t>
      </w:r>
    </w:p>
    <w:p w14:paraId="0F6C6F90" w14:textId="53B47130" w:rsidR="009A2FBB" w:rsidRPr="009A2FBB" w:rsidRDefault="009A2FBB" w:rsidP="009C2E58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t>Kontaktná osoba:</w:t>
      </w:r>
      <w:r>
        <w:rPr>
          <w:rFonts w:ascii="Garamond" w:hAnsi="Garamond"/>
          <w:sz w:val="22"/>
          <w:szCs w:val="22"/>
        </w:rPr>
        <w:t xml:space="preserve"> Mgr. Daniel Šuchaň, </w:t>
      </w:r>
      <w:r w:rsidR="00AF32E6">
        <w:rPr>
          <w:rFonts w:ascii="Garamond" w:hAnsi="Garamond"/>
          <w:sz w:val="22"/>
          <w:szCs w:val="22"/>
        </w:rPr>
        <w:t xml:space="preserve"> </w:t>
      </w:r>
      <w:r w:rsidR="00AF32E6">
        <w:rPr>
          <w:rFonts w:ascii="Garamond" w:hAnsi="Garamond"/>
          <w:sz w:val="22"/>
          <w:szCs w:val="22"/>
          <w:lang w:val="en-US"/>
        </w:rPr>
        <w:t>telefón</w:t>
      </w:r>
      <w:r w:rsidRPr="009A2FBB">
        <w:rPr>
          <w:rFonts w:ascii="Garamond" w:hAnsi="Garamond"/>
          <w:sz w:val="22"/>
          <w:szCs w:val="22"/>
          <w:lang w:val="en-US"/>
        </w:rPr>
        <w:t>: </w:t>
      </w:r>
      <w:r w:rsidR="00AF32E6" w:rsidRPr="00AF32E6">
        <w:rPr>
          <w:rFonts w:ascii="Garamond" w:hAnsi="Garamond"/>
          <w:sz w:val="22"/>
          <w:szCs w:val="22"/>
          <w:lang w:val="en-US"/>
        </w:rPr>
        <w:t>+421 2 5950 1374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,</w:t>
      </w:r>
      <w:r w:rsidR="00AF32E6">
        <w:rPr>
          <w:rFonts w:ascii="Garamond" w:hAnsi="Garamond"/>
          <w:sz w:val="22"/>
          <w:szCs w:val="22"/>
          <w:lang w:val="en-US"/>
        </w:rPr>
        <w:t xml:space="preserve"> mail: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hyperlink r:id="rId9" w:history="1">
        <w:r w:rsidRPr="009A2FBB">
          <w:rPr>
            <w:rStyle w:val="Hypertextovprepojenie"/>
            <w:rFonts w:ascii="Garamond" w:hAnsi="Garamond"/>
            <w:sz w:val="22"/>
            <w:szCs w:val="22"/>
            <w:lang w:val="en-US"/>
          </w:rPr>
          <w:t>suchan.daniel@dpb.sk</w:t>
        </w:r>
      </w:hyperlink>
    </w:p>
    <w:p w14:paraId="3946E041" w14:textId="77777777" w:rsidR="00590035" w:rsidRPr="00400178" w:rsidRDefault="00590035" w:rsidP="00590035">
      <w:pPr>
        <w:pStyle w:val="Odsekzoznamu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lastRenderedPageBreak/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3D9A0F2A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F41D3D">
        <w:rPr>
          <w:rFonts w:ascii="Garamond" w:hAnsi="Garamond"/>
        </w:rPr>
        <w:t>14</w:t>
      </w:r>
      <w:r w:rsidR="00DF59E4" w:rsidRPr="00DF59E4">
        <w:rPr>
          <w:rFonts w:ascii="Garamond" w:hAnsi="Garamond"/>
        </w:rPr>
        <w:t>.1</w:t>
      </w:r>
      <w:r w:rsidR="00CA746D">
        <w:rPr>
          <w:rFonts w:ascii="Garamond" w:hAnsi="Garamond"/>
        </w:rPr>
        <w:t>2</w:t>
      </w:r>
      <w:r w:rsidR="00DF59E4" w:rsidRPr="00DF59E4">
        <w:rPr>
          <w:rFonts w:ascii="Garamond" w:hAnsi="Garamond"/>
        </w:rPr>
        <w:t>.2023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186ADDCD" w:rsidR="00D87573" w:rsidRPr="00601AB1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>:       Rámcová dohoda o poskytovaní služieb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75510466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CA746D">
        <w:rPr>
          <w:rFonts w:ascii="Garamond" w:hAnsi="Garamond"/>
        </w:rPr>
        <w:t>04</w:t>
      </w:r>
      <w:r w:rsidR="00DF59E4" w:rsidRPr="00DF59E4">
        <w:rPr>
          <w:rFonts w:ascii="Garamond" w:hAnsi="Garamond"/>
        </w:rPr>
        <w:t>.1</w:t>
      </w:r>
      <w:r w:rsidR="00CA746D">
        <w:rPr>
          <w:rFonts w:ascii="Garamond" w:hAnsi="Garamond"/>
        </w:rPr>
        <w:t>2</w:t>
      </w:r>
      <w:r w:rsidR="00DF59E4" w:rsidRPr="00DF59E4">
        <w:rPr>
          <w:rFonts w:ascii="Garamond" w:hAnsi="Garamond"/>
        </w:rPr>
        <w:t>.2023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______________________________</w:t>
      </w:r>
    </w:p>
    <w:p w14:paraId="105B1115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Ing. Vladimír Pokojný</w:t>
      </w:r>
    </w:p>
    <w:p w14:paraId="10AB1DEF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vedúci oddelenia verejného obstarávania</w:t>
      </w: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977E1CF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7A21B2F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77777777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služieb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3C345C3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o poskytovaní služieb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2A90B9AC" w14:textId="77777777" w:rsidR="007148DA" w:rsidRPr="003F2839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sectPr w:rsidR="007148DA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E340" w14:textId="77777777" w:rsidR="007C0E0C" w:rsidRDefault="007C0E0C" w:rsidP="00590035">
      <w:r>
        <w:separator/>
      </w:r>
    </w:p>
  </w:endnote>
  <w:endnote w:type="continuationSeparator" w:id="0">
    <w:p w14:paraId="041A2065" w14:textId="77777777" w:rsidR="007C0E0C" w:rsidRDefault="007C0E0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EF6D" w14:textId="77777777" w:rsidR="007C0E0C" w:rsidRDefault="007C0E0C" w:rsidP="00590035">
      <w:r>
        <w:separator/>
      </w:r>
    </w:p>
  </w:footnote>
  <w:footnote w:type="continuationSeparator" w:id="0">
    <w:p w14:paraId="2994C013" w14:textId="77777777" w:rsidR="007C0E0C" w:rsidRDefault="007C0E0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3"/>
  </w:num>
  <w:num w:numId="2" w16cid:durableId="441726825">
    <w:abstractNumId w:val="2"/>
  </w:num>
  <w:num w:numId="3" w16cid:durableId="2082871520">
    <w:abstractNumId w:val="0"/>
  </w:num>
  <w:num w:numId="4" w16cid:durableId="288903976">
    <w:abstractNumId w:val="4"/>
  </w:num>
  <w:num w:numId="5" w16cid:durableId="1811052271">
    <w:abstractNumId w:val="1"/>
  </w:num>
  <w:num w:numId="6" w16cid:durableId="234702813">
    <w:abstractNumId w:val="6"/>
  </w:num>
  <w:num w:numId="7" w16cid:durableId="766852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62A74"/>
    <w:rsid w:val="00090AA4"/>
    <w:rsid w:val="000A6A51"/>
    <w:rsid w:val="000E6443"/>
    <w:rsid w:val="0014633D"/>
    <w:rsid w:val="001663BF"/>
    <w:rsid w:val="00200340"/>
    <w:rsid w:val="002240C5"/>
    <w:rsid w:val="002A4EC6"/>
    <w:rsid w:val="002C3E34"/>
    <w:rsid w:val="002F3A7C"/>
    <w:rsid w:val="003066D8"/>
    <w:rsid w:val="0036525B"/>
    <w:rsid w:val="003F2839"/>
    <w:rsid w:val="00434747"/>
    <w:rsid w:val="004E037D"/>
    <w:rsid w:val="0050583E"/>
    <w:rsid w:val="00590035"/>
    <w:rsid w:val="005A69A2"/>
    <w:rsid w:val="00601AB1"/>
    <w:rsid w:val="00616BBF"/>
    <w:rsid w:val="00626B7E"/>
    <w:rsid w:val="006A664C"/>
    <w:rsid w:val="006D290F"/>
    <w:rsid w:val="006D4A89"/>
    <w:rsid w:val="006E37FD"/>
    <w:rsid w:val="007148DA"/>
    <w:rsid w:val="00714F91"/>
    <w:rsid w:val="00717D28"/>
    <w:rsid w:val="0075165E"/>
    <w:rsid w:val="007C0E0C"/>
    <w:rsid w:val="0081175C"/>
    <w:rsid w:val="008754C3"/>
    <w:rsid w:val="00887CE4"/>
    <w:rsid w:val="009A2FBB"/>
    <w:rsid w:val="009A554E"/>
    <w:rsid w:val="009C2E58"/>
    <w:rsid w:val="00A038F2"/>
    <w:rsid w:val="00A74180"/>
    <w:rsid w:val="00AB3B93"/>
    <w:rsid w:val="00AF32E6"/>
    <w:rsid w:val="00B010C2"/>
    <w:rsid w:val="00B645DE"/>
    <w:rsid w:val="00BE6242"/>
    <w:rsid w:val="00C35F68"/>
    <w:rsid w:val="00C51F0C"/>
    <w:rsid w:val="00CA746D"/>
    <w:rsid w:val="00D12922"/>
    <w:rsid w:val="00D42CA7"/>
    <w:rsid w:val="00D50ABE"/>
    <w:rsid w:val="00D87573"/>
    <w:rsid w:val="00DF532C"/>
    <w:rsid w:val="00DF59E4"/>
    <w:rsid w:val="00DF71B3"/>
    <w:rsid w:val="00F210CB"/>
    <w:rsid w:val="00F41D3D"/>
    <w:rsid w:val="00F44FC3"/>
    <w:rsid w:val="00F46375"/>
    <w:rsid w:val="00F72B14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00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00000/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chan.daniel@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16</cp:revision>
  <cp:lastPrinted>2023-12-13T06:20:00Z</cp:lastPrinted>
  <dcterms:created xsi:type="dcterms:W3CDTF">2023-12-04T17:03:00Z</dcterms:created>
  <dcterms:modified xsi:type="dcterms:W3CDTF">2023-12-14T08:05:00Z</dcterms:modified>
</cp:coreProperties>
</file>