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DCF2C6B" w14:textId="369F0309"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5D48E7" w:rsidRPr="00E21667">
        <w:rPr>
          <w:rFonts w:ascii="Century Gothic" w:hAnsi="Century Gothic"/>
          <w:b/>
          <w:szCs w:val="20"/>
        </w:rPr>
        <w:t>Poľnohospodárske družstvo Ďumbier</w:t>
      </w:r>
    </w:p>
    <w:p w14:paraId="7FE7CA07" w14:textId="47AB0CAE"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roofErr w:type="spellStart"/>
      <w:r w:rsidR="005D48E7">
        <w:rPr>
          <w:rFonts w:ascii="Century Gothic" w:hAnsi="Century Gothic"/>
          <w:sz w:val="18"/>
          <w:szCs w:val="18"/>
        </w:rPr>
        <w:t>Podkoreňová</w:t>
      </w:r>
      <w:proofErr w:type="spellEnd"/>
      <w:r w:rsidR="005D48E7">
        <w:rPr>
          <w:rFonts w:ascii="Century Gothic" w:hAnsi="Century Gothic"/>
          <w:sz w:val="18"/>
          <w:szCs w:val="18"/>
        </w:rPr>
        <w:t xml:space="preserve"> 3, 977 01 Brezno</w:t>
      </w:r>
    </w:p>
    <w:p w14:paraId="7A3E617B" w14:textId="472DEF8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w:t>
      </w:r>
      <w:r w:rsidR="005D48E7">
        <w:rPr>
          <w:rFonts w:ascii="Century Gothic" w:hAnsi="Century Gothic"/>
          <w:sz w:val="18"/>
          <w:szCs w:val="18"/>
        </w:rPr>
        <w:t> 189 103</w:t>
      </w:r>
    </w:p>
    <w:p w14:paraId="462E9E19" w14:textId="55F758B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w:t>
      </w:r>
      <w:r w:rsidR="005D48E7">
        <w:rPr>
          <w:rFonts w:ascii="Century Gothic" w:hAnsi="Century Gothic"/>
          <w:sz w:val="18"/>
          <w:szCs w:val="18"/>
        </w:rPr>
        <w:t>458649</w:t>
      </w:r>
    </w:p>
    <w:p w14:paraId="05740D03" w14:textId="103A17E1"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w:t>
      </w:r>
      <w:r w:rsidR="005D48E7">
        <w:rPr>
          <w:rFonts w:ascii="Century Gothic" w:hAnsi="Century Gothic"/>
          <w:sz w:val="18"/>
          <w:szCs w:val="18"/>
        </w:rPr>
        <w:t>458649</w:t>
      </w:r>
    </w:p>
    <w:p w14:paraId="5023DD18" w14:textId="712832A4"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5D48E7">
        <w:rPr>
          <w:rFonts w:ascii="Century Gothic" w:hAnsi="Century Gothic"/>
          <w:sz w:val="18"/>
          <w:szCs w:val="18"/>
        </w:rPr>
        <w:t>Banská Bystrica</w:t>
      </w:r>
      <w:r w:rsidRPr="002B5EBC">
        <w:rPr>
          <w:rFonts w:ascii="Century Gothic" w:hAnsi="Century Gothic"/>
          <w:sz w:val="18"/>
          <w:szCs w:val="18"/>
        </w:rPr>
        <w:t xml:space="preserve">, </w:t>
      </w:r>
    </w:p>
    <w:p w14:paraId="0AE5B39E" w14:textId="3462737C" w:rsidR="002B5EBC" w:rsidRPr="002B5EBC" w:rsidRDefault="005D48E7" w:rsidP="002B5EBC">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 xml:space="preserve">oddiel: </w:t>
      </w:r>
      <w:proofErr w:type="spellStart"/>
      <w:r>
        <w:rPr>
          <w:rFonts w:ascii="Century Gothic" w:hAnsi="Century Gothic"/>
          <w:sz w:val="18"/>
          <w:szCs w:val="18"/>
        </w:rPr>
        <w:t>Dr</w:t>
      </w:r>
      <w:proofErr w:type="spellEnd"/>
      <w:r>
        <w:rPr>
          <w:rFonts w:ascii="Century Gothic" w:hAnsi="Century Gothic"/>
          <w:sz w:val="18"/>
          <w:szCs w:val="18"/>
        </w:rPr>
        <w:t>, vložka číslo: 308/S</w:t>
      </w:r>
    </w:p>
    <w:p w14:paraId="29287C55" w14:textId="5CDDA33F" w:rsid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sidR="001E5E9B">
        <w:rPr>
          <w:rFonts w:ascii="Century Gothic" w:hAnsi="Century Gothic"/>
          <w:sz w:val="18"/>
          <w:szCs w:val="18"/>
        </w:rPr>
        <w:t xml:space="preserve">Ing. </w:t>
      </w:r>
      <w:r w:rsidR="005D48E7">
        <w:rPr>
          <w:rFonts w:ascii="Century Gothic" w:hAnsi="Century Gothic"/>
          <w:sz w:val="18"/>
          <w:szCs w:val="18"/>
        </w:rPr>
        <w:t>Andrej Žák</w:t>
      </w:r>
      <w:r w:rsidR="001E5E9B">
        <w:rPr>
          <w:rFonts w:ascii="Century Gothic" w:hAnsi="Century Gothic"/>
          <w:sz w:val="18"/>
          <w:szCs w:val="18"/>
        </w:rPr>
        <w:t>, predseda predstavenstva</w:t>
      </w:r>
    </w:p>
    <w:p w14:paraId="11368ABE" w14:textId="100387F0" w:rsidR="002B5EBC" w:rsidRPr="002B5EBC" w:rsidRDefault="001E5E9B" w:rsidP="002B5EBC">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Ing. </w:t>
      </w:r>
      <w:r w:rsidR="005D48E7">
        <w:rPr>
          <w:rFonts w:ascii="Century Gothic" w:hAnsi="Century Gothic"/>
          <w:sz w:val="18"/>
          <w:szCs w:val="18"/>
        </w:rPr>
        <w:t>Peter Lukáč</w:t>
      </w:r>
      <w:r>
        <w:rPr>
          <w:rFonts w:ascii="Century Gothic" w:hAnsi="Century Gothic"/>
          <w:sz w:val="18"/>
          <w:szCs w:val="18"/>
        </w:rPr>
        <w:t>, člen predstavenstva</w:t>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p>
    <w:p w14:paraId="747567E6" w14:textId="64FFA89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000B2B09">
        <w:rPr>
          <w:rFonts w:ascii="Century Gothic" w:hAnsi="Century Gothic"/>
          <w:sz w:val="18"/>
          <w:szCs w:val="18"/>
        </w:rPr>
        <w:t>Tatra Banka a.s.</w:t>
      </w:r>
    </w:p>
    <w:p w14:paraId="6DE8A73B" w14:textId="11648650" w:rsidR="005D48E7" w:rsidRDefault="002B5EBC" w:rsidP="005D48E7">
      <w:pPr>
        <w:pStyle w:val="Default"/>
        <w:rPr>
          <w:sz w:val="20"/>
          <w:szCs w:val="20"/>
        </w:rPr>
      </w:pPr>
      <w:r w:rsidRPr="002B5EBC">
        <w:rPr>
          <w:rFonts w:ascii="Century Gothic" w:hAnsi="Century Gothic"/>
          <w:sz w:val="18"/>
          <w:szCs w:val="18"/>
        </w:rPr>
        <w:t>Číslo účtu (IBAN):</w:t>
      </w:r>
      <w:r w:rsidRPr="002B5EBC">
        <w:rPr>
          <w:rFonts w:ascii="Century Gothic" w:hAnsi="Century Gothic"/>
          <w:sz w:val="18"/>
          <w:szCs w:val="18"/>
        </w:rPr>
        <w:tab/>
      </w:r>
      <w:r w:rsidRPr="002B5EBC">
        <w:rPr>
          <w:rFonts w:ascii="Century Gothic" w:hAnsi="Century Gothic"/>
          <w:sz w:val="18"/>
          <w:szCs w:val="18"/>
        </w:rPr>
        <w:tab/>
      </w:r>
      <w:r w:rsidR="005D48E7" w:rsidRPr="005D48E7">
        <w:rPr>
          <w:rFonts w:ascii="Century Gothic" w:hAnsi="Century Gothic"/>
          <w:sz w:val="18"/>
          <w:szCs w:val="18"/>
        </w:rPr>
        <w:t>SK71 1100 0000 0026 2305 4311</w:t>
      </w:r>
      <w:r w:rsidR="005D48E7">
        <w:rPr>
          <w:sz w:val="20"/>
          <w:szCs w:val="20"/>
        </w:rPr>
        <w:t xml:space="preserve"> </w:t>
      </w:r>
    </w:p>
    <w:p w14:paraId="4DE8C2E5" w14:textId="2D69B389" w:rsidR="000B2B09" w:rsidRPr="00E21667" w:rsidRDefault="000B2B09" w:rsidP="000B2B09">
      <w:pPr>
        <w:spacing w:after="0" w:line="240" w:lineRule="auto"/>
        <w:rPr>
          <w:rFonts w:ascii="Century Gothic" w:hAnsi="Century Gothic"/>
          <w:szCs w:val="20"/>
        </w:rPr>
      </w:pPr>
    </w:p>
    <w:p w14:paraId="571FCA54" w14:textId="433B1D88" w:rsidR="002B5EBC" w:rsidRPr="002B5EBC" w:rsidRDefault="002B5EBC" w:rsidP="002B5EBC">
      <w:pPr>
        <w:spacing w:after="0" w:line="276" w:lineRule="auto"/>
        <w:contextualSpacing/>
        <w:jc w:val="both"/>
        <w:rPr>
          <w:rFonts w:ascii="Century Gothic" w:hAnsi="Century Gothic"/>
          <w:sz w:val="18"/>
          <w:szCs w:val="18"/>
        </w:rPr>
      </w:pPr>
    </w:p>
    <w:p w14:paraId="79A1E861" w14:textId="77777777" w:rsidR="002B5EBC" w:rsidRPr="002B5EBC"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B5EBC" w:rsidRDefault="002B5EBC" w:rsidP="002B5EBC">
      <w:pPr>
        <w:spacing w:after="0" w:line="276" w:lineRule="auto"/>
        <w:contextualSpacing/>
        <w:jc w:val="both"/>
        <w:rPr>
          <w:rFonts w:ascii="Century Gothic" w:hAnsi="Century Gothic"/>
          <w:b/>
          <w:sz w:val="18"/>
          <w:szCs w:val="18"/>
        </w:rPr>
      </w:pPr>
      <w:r w:rsidRPr="002B5EBC">
        <w:rPr>
          <w:rFonts w:ascii="Century Gothic" w:hAnsi="Century Gothic"/>
          <w:b/>
          <w:sz w:val="18"/>
          <w:szCs w:val="18"/>
        </w:rPr>
        <w:t>Predávajúcim:</w:t>
      </w:r>
      <w:r w:rsidRPr="002B5EBC">
        <w:rPr>
          <w:rFonts w:ascii="Century Gothic" w:hAnsi="Century Gothic"/>
          <w:b/>
          <w:sz w:val="18"/>
          <w:szCs w:val="18"/>
        </w:rPr>
        <w:tab/>
      </w:r>
      <w:r w:rsidRPr="002B5EBC">
        <w:rPr>
          <w:rFonts w:ascii="Century Gothic" w:hAnsi="Century Gothic"/>
          <w:b/>
          <w:sz w:val="18"/>
          <w:szCs w:val="18"/>
        </w:rPr>
        <w:tab/>
      </w:r>
      <w:r w:rsidRPr="002B5EBC">
        <w:rPr>
          <w:rFonts w:ascii="Century Gothic" w:hAnsi="Century Gothic"/>
          <w:b/>
          <w:sz w:val="18"/>
          <w:szCs w:val="18"/>
        </w:rPr>
        <w:tab/>
      </w:r>
    </w:p>
    <w:p w14:paraId="2EA6308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p>
    <w:p w14:paraId="38A11B4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p>
    <w:p w14:paraId="179FC038"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p>
    <w:p w14:paraId="669DE6E1"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p>
    <w:p w14:paraId="52AF2AF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Zápis: </w:t>
      </w:r>
      <w:r w:rsidRPr="002B5EBC">
        <w:rPr>
          <w:rFonts w:ascii="Century Gothic" w:hAnsi="Century Gothic"/>
          <w:sz w:val="18"/>
          <w:szCs w:val="18"/>
        </w:rPr>
        <w:tab/>
      </w:r>
    </w:p>
    <w:p w14:paraId="25102EC8" w14:textId="77777777" w:rsidR="002B5EBC" w:rsidRPr="002B5EBC" w:rsidRDefault="002B5EBC" w:rsidP="002B5EBC">
      <w:pPr>
        <w:spacing w:after="0" w:line="276" w:lineRule="auto"/>
        <w:contextualSpacing/>
        <w:jc w:val="both"/>
        <w:rPr>
          <w:rFonts w:ascii="Century Gothic" w:hAnsi="Century Gothic"/>
          <w:sz w:val="18"/>
          <w:szCs w:val="18"/>
        </w:rPr>
      </w:pPr>
    </w:p>
    <w:p w14:paraId="78DF7B7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p>
    <w:p w14:paraId="3090185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Pr="002B5EBC" w:rsidRDefault="002B5EBC"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2263249E"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 xml:space="preserve">Táto Zmluva sa uzatvára v nadväznosti na výsledok procesu zadávania zákazky, ktorý                            bol začatý zverejnením Výzvy na predkladanie ponúk v elektronickom obstarávacom systéme JOSEPHINE pod ID: </w:t>
      </w:r>
      <w:r w:rsidR="00D4143D">
        <w:rPr>
          <w:rFonts w:ascii="Century Gothic" w:hAnsi="Century Gothic"/>
          <w:sz w:val="18"/>
          <w:szCs w:val="18"/>
        </w:rPr>
        <w:t>50946</w:t>
      </w:r>
      <w:bookmarkStart w:id="0" w:name="_GoBack"/>
      <w:bookmarkEnd w:id="0"/>
      <w:r w:rsidR="003F7FAD">
        <w:rPr>
          <w:rFonts w:ascii="Century Gothic" w:hAnsi="Century Gothic"/>
          <w:sz w:val="18"/>
          <w:szCs w:val="18"/>
        </w:rPr>
        <w:t xml:space="preserve"> </w:t>
      </w:r>
      <w:r w:rsidRPr="0090274E">
        <w:rPr>
          <w:rFonts w:ascii="Century Gothic" w:hAnsi="Century Gothic"/>
          <w:sz w:val="18"/>
          <w:szCs w:val="18"/>
        </w:rPr>
        <w:t xml:space="preserve">pre zákazku s názvom </w:t>
      </w:r>
      <w:r w:rsidRPr="00F3250C">
        <w:rPr>
          <w:rFonts w:ascii="Century Gothic" w:hAnsi="Century Gothic"/>
          <w:b/>
          <w:bCs/>
          <w:sz w:val="18"/>
          <w:szCs w:val="18"/>
        </w:rPr>
        <w:t>„</w:t>
      </w:r>
      <w:r w:rsidR="0090274E" w:rsidRPr="00F3250C">
        <w:rPr>
          <w:rFonts w:ascii="Century Gothic" w:hAnsi="Century Gothic"/>
          <w:b/>
          <w:bCs/>
          <w:sz w:val="18"/>
          <w:szCs w:val="18"/>
        </w:rPr>
        <w:t xml:space="preserve">Technologické vybavenie do mliekarne – </w:t>
      </w:r>
      <w:r w:rsidR="003F7FAD">
        <w:rPr>
          <w:rFonts w:ascii="Century Gothic" w:hAnsi="Century Gothic"/>
          <w:b/>
          <w:bCs/>
          <w:sz w:val="18"/>
          <w:szCs w:val="18"/>
        </w:rPr>
        <w:t>Skladovanie mlieka pred výrobou</w:t>
      </w:r>
      <w:r w:rsidRPr="00F3250C">
        <w:rPr>
          <w:rFonts w:ascii="Century Gothic" w:hAnsi="Century Gothic"/>
          <w:b/>
          <w:bCs/>
          <w:sz w:val="18"/>
          <w:szCs w:val="18"/>
        </w:rPr>
        <w:t xml:space="preserve">“ </w:t>
      </w:r>
      <w:r w:rsidRPr="0090274E">
        <w:rPr>
          <w:rFonts w:ascii="Century Gothic" w:hAnsi="Century Gothic"/>
          <w:sz w:val="18"/>
          <w:szCs w:val="18"/>
        </w:rPr>
        <w:t>(ďalej len „</w:t>
      </w:r>
      <w:r w:rsidRPr="0090274E">
        <w:rPr>
          <w:rFonts w:ascii="Century Gothic" w:hAnsi="Century Gothic"/>
          <w:b/>
          <w:sz w:val="18"/>
          <w:szCs w:val="18"/>
        </w:rPr>
        <w:t>Výzva</w:t>
      </w:r>
      <w:r w:rsidRPr="0090274E">
        <w:rPr>
          <w:rFonts w:ascii="Century Gothic" w:hAnsi="Century Gothic"/>
          <w:sz w:val="18"/>
          <w:szCs w:val="18"/>
        </w:rPr>
        <w:t>“), v rámci vyhodnotenia ktorej sa Predávajúci na základe svojej ponuky stal úspešným</w:t>
      </w:r>
      <w:r w:rsidRPr="002B5EBC">
        <w:rPr>
          <w:rFonts w:ascii="Century Gothic" w:hAnsi="Century Gothic"/>
          <w:sz w:val="18"/>
          <w:szCs w:val="18"/>
        </w:rPr>
        <w:t xml:space="preserve">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Pr="00F3249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09816414" w14:textId="08FDC794" w:rsidR="0090274E" w:rsidRDefault="002B5EBC" w:rsidP="0090274E">
      <w:pPr>
        <w:autoSpaceDE w:val="0"/>
        <w:autoSpaceDN w:val="0"/>
        <w:adjustRightInd w:val="0"/>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Predmetom plnenia Predávajúceh</w:t>
      </w:r>
      <w:r w:rsidR="0090274E">
        <w:rPr>
          <w:rFonts w:ascii="Century Gothic" w:hAnsi="Century Gothic"/>
          <w:sz w:val="18"/>
          <w:szCs w:val="18"/>
        </w:rPr>
        <w:t>o podľa tejto Zmluvy je dodanie:</w:t>
      </w:r>
    </w:p>
    <w:p w14:paraId="0ADE2E0B" w14:textId="0F5664F4" w:rsidR="00F3250C" w:rsidRDefault="00F3250C" w:rsidP="0090274E">
      <w:pPr>
        <w:autoSpaceDE w:val="0"/>
        <w:autoSpaceDN w:val="0"/>
        <w:adjustRightInd w:val="0"/>
        <w:rPr>
          <w:rFonts w:ascii="Century Gothic" w:hAnsi="Century Gothic"/>
          <w:sz w:val="18"/>
          <w:szCs w:val="18"/>
        </w:rPr>
      </w:pPr>
      <w:r w:rsidRPr="00F3250C">
        <w:rPr>
          <w:rFonts w:ascii="Century Gothic" w:hAnsi="Century Gothic"/>
          <w:b/>
          <w:bCs/>
          <w:sz w:val="18"/>
          <w:szCs w:val="18"/>
        </w:rPr>
        <w:t xml:space="preserve">„Technologické vybavenie do mliekarne – </w:t>
      </w:r>
      <w:r w:rsidR="003F7FAD">
        <w:rPr>
          <w:rFonts w:ascii="Century Gothic" w:hAnsi="Century Gothic"/>
          <w:b/>
          <w:bCs/>
          <w:sz w:val="18"/>
          <w:szCs w:val="18"/>
        </w:rPr>
        <w:t>Skladovanie mlieka pred výrobou</w:t>
      </w:r>
      <w:r w:rsidRPr="00F3250C">
        <w:rPr>
          <w:rFonts w:ascii="Century Gothic" w:hAnsi="Century Gothic"/>
          <w:b/>
          <w:bCs/>
          <w:sz w:val="18"/>
          <w:szCs w:val="18"/>
        </w:rPr>
        <w:t>“</w:t>
      </w:r>
      <w:r>
        <w:rPr>
          <w:rFonts w:ascii="Century Gothic" w:hAnsi="Century Gothic"/>
          <w:b/>
          <w:bCs/>
          <w:sz w:val="18"/>
          <w:szCs w:val="18"/>
        </w:rPr>
        <w:t>:</w:t>
      </w:r>
    </w:p>
    <w:p w14:paraId="730E5FE2" w14:textId="0129D0B0" w:rsidR="0090274E" w:rsidRPr="0090274E" w:rsidRDefault="003F7FAD" w:rsidP="0090274E">
      <w:pPr>
        <w:autoSpaceDE w:val="0"/>
        <w:autoSpaceDN w:val="0"/>
        <w:adjustRightInd w:val="0"/>
        <w:rPr>
          <w:rFonts w:ascii="Century Gothic" w:hAnsi="Century Gothic" w:cs="Calibri-Bold"/>
          <w:b/>
          <w:bCs/>
          <w:sz w:val="18"/>
          <w:szCs w:val="18"/>
        </w:rPr>
      </w:pPr>
      <w:r>
        <w:rPr>
          <w:rFonts w:ascii="Century Gothic" w:hAnsi="Century Gothic"/>
          <w:sz w:val="18"/>
          <w:szCs w:val="18"/>
        </w:rPr>
        <w:t>Chladenie mlieka 2 ks</w:t>
      </w:r>
    </w:p>
    <w:p w14:paraId="6C133399" w14:textId="4CA50DC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lastRenderedPageBreak/>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 inštalácia Predmetu plnenia v mieste dodania a inštalácie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5545DB5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technickej inšpekcie Predmetu plnenia alebo jeho časti vrátane odborného stanoviska inštitúcie oprávnenej vykonať technickú inšpekciu Predmetu plnenia,</w:t>
      </w:r>
    </w:p>
    <w:p w14:paraId="73FBC342" w14:textId="77777777" w:rsidR="002B5EBC" w:rsidRPr="002B5EBC" w:rsidRDefault="002B5EBC" w:rsidP="002B5EBC">
      <w:pPr>
        <w:spacing w:after="0" w:line="276" w:lineRule="auto"/>
        <w:contextualSpacing/>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007807C0"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inštalovať v mieste dodania a inštalácie Predmetu plnenia, ktorým</w:t>
      </w:r>
      <w:r w:rsidR="0090274E">
        <w:rPr>
          <w:rFonts w:ascii="Century Gothic" w:hAnsi="Century Gothic"/>
          <w:sz w:val="18"/>
          <w:szCs w:val="18"/>
        </w:rPr>
        <w:t xml:space="preserve"> je sídlo kupujúceho</w:t>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je povinný zabezpečiť dodanie a inštaláciu Predmetu plnenia tak, aby bol Predmet plnenia v celom rozsahu spôsobilý na bezproblémové uvedenie do prevádzky. Dodaný a nainštalovaný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a jeho jednotlivým súčastiam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jednotlivých súčastí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servisné knižky s určením intervalov servisných prehliadok jednotlivých súčastí Predmetu plnenia,</w:t>
      </w:r>
    </w:p>
    <w:p w14:paraId="414EC63C" w14:textId="77777777" w:rsidR="002B5EBC" w:rsidRPr="002B5EBC" w:rsidRDefault="002B5EBC" w:rsidP="002B5EBC">
      <w:pPr>
        <w:spacing w:after="0" w:line="276" w:lineRule="auto"/>
        <w:contextualSpacing/>
        <w:jc w:val="both"/>
        <w:rPr>
          <w:rFonts w:ascii="Century Gothic" w:hAnsi="Century Gothic"/>
          <w:sz w:val="18"/>
          <w:szCs w:val="18"/>
        </w:rPr>
      </w:pPr>
    </w:p>
    <w:p w14:paraId="0617BAC6"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záručné listy jednotlivých súčastí Predmetu plnenia,</w:t>
      </w:r>
    </w:p>
    <w:p w14:paraId="576502A3" w14:textId="77777777" w:rsidR="002B5EBC" w:rsidRPr="002B5EBC" w:rsidRDefault="002B5EBC" w:rsidP="002B5EBC">
      <w:pPr>
        <w:pStyle w:val="Odsekzoznamu"/>
        <w:spacing w:after="0" w:line="276" w:lineRule="auto"/>
        <w:rPr>
          <w:rFonts w:ascii="Century Gothic" w:hAnsi="Century Gothic"/>
          <w:sz w:val="18"/>
          <w:szCs w:val="18"/>
        </w:rPr>
      </w:pPr>
    </w:p>
    <w:p w14:paraId="592316B5"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odborné stanovisko technickej inšpekcie k Predmetu plnenia</w:t>
      </w:r>
      <w:r w:rsidR="00F8140B">
        <w:rPr>
          <w:rFonts w:ascii="Century Gothic" w:hAnsi="Century Gothic"/>
          <w:sz w:val="18"/>
          <w:szCs w:val="18"/>
        </w:rPr>
        <w:t xml:space="preserve"> alebo k jeho časti</w:t>
      </w:r>
      <w:r w:rsidRPr="002B5EBC">
        <w:rPr>
          <w:rFonts w:ascii="Century Gothic" w:hAnsi="Century Gothic"/>
          <w:sz w:val="18"/>
          <w:szCs w:val="18"/>
        </w:rPr>
        <w:t>.</w:t>
      </w: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vady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 záruku v trvaní tridsaťšesť (36)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vady Predmetu plnenia počas záručnej doby, t. j. reklamáciu vady Predmetu plnenia v záručnej dobe, Kupujúci uplatní u Predávajúceho doručením reklamácie vady Predmetu plnenia bez zbytočného odkladu                          od zistenia vady Predmetu plnenia, a to vo forme zaslania reklamácie vady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vady Predmetu plnenia sa, vzhľadom na uvedené, považuje za doručenú Predávajúcemu okamihom jej odoslania zo strany Kupujúceho. V reklamácii vady Predmetu plnenia Kupujúci uvedie, akým spôsobom sa reklamovaná vada Predmetu plnenia prejavuje a požadovaný druh nároku, ktorý si u Predávajúceho na základe reklamovanej vady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Predávajúci je povinný potvrdiť prijatie reklamácie vady Predmetu plnenia bezodkladne,                                 a to vo forme zaslania potvrdzovacej odpovede na emailovú adresu Kupujúceho, z ktorej                      mu bola reklamácia vady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6611350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V prípade reklamácie vady Predmetu plnenia v záručnej dobe je Predávajúci povinný Kupujúcim reklamovanú vadu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štyridsaťosem (48) hodín od okamihu doručenia reklamácie vady Predmetu plnenia </w:t>
      </w:r>
      <w:r w:rsidR="00CC679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 ak sa Zmluvné strany s prihliadnutím na povahu reklamovanej vady Predmetu plnenia a/alebo časovú náročnosť úkonov nevyhnutných na odstránenie reklamovanej vady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na odstránenie reklamovanej vady Predmetu plnenia písomne nedohodnú na inej primeranej lehote odstránenia reklamovanej vady Predmetu plnenia, ktorá však nesmie presiahnuť tridsať (30) kalendárnych dní od okamihu doručenia reklamácie vady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Predávajúci je povinný po riadnom odstránení reklamovanej vady Predmetu plnenia predložiť Kupujúcemu na podpis písomný preberací protokol o odstránení reklamovanej vady Predmetu plnenia, pričom pokiaľ tak neuskutoční, reklamovaná vada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V prípade, ak Predávajúci neodstraňuje reklamované vady Predmetu plnenia riadne a včas,                     t. j. za podmienok a v lehotách podľa tejto Zmluvy alebo ak Predávajúci začne reklamované vady Predmetu plnenia odstraňovať, ale neodstraňuje ich riadne a v lehotách podľa tejto Zmluvy, má Kupujúci právo odstrániť reklamované vady Predmetu plnenia sám alebo prostredníctvom tretej osoby, a to aj bez predchádzajúceho informovania Predávajúceho.                     V takýchto prípadoch je Kupujúci oprávnený od Predávajúceho požadovať úhradu nákladov, ktoré Kupujúci vynaložil na odstraňovanie reklamovaných vád Predmetu plnenia. Uvedeným postupom Kupujúceho nie sú dotknuté ustanovenia tejto Zmluvy týkajúce sa dohodnutej záručnej doby a zodpovednosti Predávajúceho za vady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Doba od uplatnenia reklamácie vady Predmetu plnenia zo strany Kupujúceho                                                        do dňa odstránenia reklamovanej vady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41425CF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6.9</w:t>
      </w:r>
      <w:r w:rsidRPr="002B5EBC">
        <w:rPr>
          <w:rFonts w:ascii="Century Gothic" w:hAnsi="Century Gothic"/>
          <w:sz w:val="18"/>
          <w:szCs w:val="18"/>
        </w:rPr>
        <w:tab/>
        <w:t>Predávajúci sa na základe tejto Zmluvy zaväzuje pre Kupujúceho zabezpečovať bezplatné pravidelné servisné prehliadky Predmetu plnenia a s tým súvisiaci bezplatný pravidelný servis Predmetu plnenia, a to v rozsahu a po dobu predpísanými pre jednotlivé súčasti Predmetu plnenia, maximálne však po dobu piatich (5) rokov odo dňa uvedenia Predmetu plnenia                           do prevádzky.</w:t>
      </w:r>
    </w:p>
    <w:p w14:paraId="29F45E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EDDCD47" w14:textId="5CF4BB2C"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6.10</w:t>
      </w:r>
      <w:r w:rsidRPr="002B5EBC">
        <w:rPr>
          <w:rFonts w:ascii="Century Gothic" w:hAnsi="Century Gothic"/>
          <w:sz w:val="18"/>
          <w:szCs w:val="18"/>
        </w:rPr>
        <w:tab/>
        <w:t>Požiadavku Kupujúceho podľa bodu 6.9 tohto článku tejto Zmluvy Kupujúci uplatní u Predávajúceho doručením na emailovú adresu Predávajúceho: ____________________________,</w:t>
      </w:r>
      <w:r w:rsidR="00CC679B">
        <w:rPr>
          <w:rFonts w:ascii="Century Gothic" w:hAnsi="Century Gothic"/>
          <w:sz w:val="18"/>
          <w:szCs w:val="18"/>
        </w:rPr>
        <w:t xml:space="preserve">   </w:t>
      </w:r>
      <w:r w:rsidRPr="002B5EBC">
        <w:rPr>
          <w:rFonts w:ascii="Century Gothic" w:hAnsi="Century Gothic"/>
          <w:sz w:val="18"/>
          <w:szCs w:val="18"/>
        </w:rPr>
        <w:t>ktorej nepretržitú funkčnosť je Predávajúci povinný počas doby vyplývajúcej z bodu 6.9 tohto článku tejto Zmluvy zabezpečiť; požiadavka Kupujúceho</w:t>
      </w:r>
      <w:r w:rsidR="00F8140B">
        <w:rPr>
          <w:rFonts w:ascii="Century Gothic" w:hAnsi="Century Gothic"/>
          <w:sz w:val="18"/>
          <w:szCs w:val="18"/>
        </w:rPr>
        <w:t xml:space="preserve"> </w:t>
      </w:r>
      <w:r w:rsidRPr="002B5EBC">
        <w:rPr>
          <w:rFonts w:ascii="Century Gothic" w:hAnsi="Century Gothic"/>
          <w:sz w:val="18"/>
          <w:szCs w:val="18"/>
        </w:rPr>
        <w:t xml:space="preserve">sa, vzhľadom na uvedené, považuje </w:t>
      </w:r>
      <w:r w:rsidR="00CC679B">
        <w:rPr>
          <w:rFonts w:ascii="Century Gothic" w:hAnsi="Century Gothic"/>
          <w:sz w:val="18"/>
          <w:szCs w:val="18"/>
        </w:rPr>
        <w:t xml:space="preserve"> </w:t>
      </w:r>
      <w:r w:rsidRPr="002B5EBC">
        <w:rPr>
          <w:rFonts w:ascii="Century Gothic" w:hAnsi="Century Gothic"/>
          <w:sz w:val="18"/>
          <w:szCs w:val="18"/>
        </w:rPr>
        <w:t>za doručenú Predávajúcemu okamihom jej odoslania</w:t>
      </w:r>
      <w:r w:rsidR="00F8140B">
        <w:rPr>
          <w:rFonts w:ascii="Century Gothic" w:hAnsi="Century Gothic"/>
          <w:sz w:val="18"/>
          <w:szCs w:val="18"/>
        </w:rPr>
        <w:t xml:space="preserve"> </w:t>
      </w:r>
      <w:r w:rsidRPr="002B5EBC">
        <w:rPr>
          <w:rFonts w:ascii="Century Gothic" w:hAnsi="Century Gothic"/>
          <w:sz w:val="18"/>
          <w:szCs w:val="18"/>
        </w:rPr>
        <w:t xml:space="preserve">zo strany Kupujúceho. V požiadavke Kupujúci uvedie požadovaný druh úkonu podľa bodu 6.9 tohto článku tejto Zmluvy, ktorý </w:t>
      </w:r>
      <w:r w:rsidR="00F8140B">
        <w:rPr>
          <w:rFonts w:ascii="Century Gothic" w:hAnsi="Century Gothic"/>
          <w:sz w:val="18"/>
          <w:szCs w:val="18"/>
        </w:rPr>
        <w:t xml:space="preserve"> </w:t>
      </w:r>
      <w:r w:rsidRPr="002B5EBC">
        <w:rPr>
          <w:rFonts w:ascii="Century Gothic" w:hAnsi="Century Gothic"/>
          <w:sz w:val="18"/>
          <w:szCs w:val="18"/>
        </w:rPr>
        <w:t>je Predávajúci povinný zabezpečiť.</w:t>
      </w:r>
    </w:p>
    <w:p w14:paraId="3E18F163" w14:textId="77777777" w:rsidR="002B5EBC" w:rsidRPr="002B5EBC" w:rsidRDefault="002B5EBC" w:rsidP="002B5EBC">
      <w:pPr>
        <w:spacing w:after="0" w:line="276" w:lineRule="auto"/>
        <w:contextualSpacing/>
        <w:jc w:val="both"/>
        <w:rPr>
          <w:rFonts w:ascii="Century Gothic" w:hAnsi="Century Gothic"/>
          <w:sz w:val="18"/>
          <w:szCs w:val="18"/>
        </w:rPr>
      </w:pPr>
    </w:p>
    <w:p w14:paraId="5DF13F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6.11</w:t>
      </w:r>
      <w:r w:rsidRPr="002B5EBC">
        <w:rPr>
          <w:rFonts w:ascii="Century Gothic" w:hAnsi="Century Gothic"/>
          <w:sz w:val="18"/>
          <w:szCs w:val="18"/>
        </w:rPr>
        <w:tab/>
        <w:t>Predávajúci je povinný prijatie požiadavky Kupujúceho podľa bodu 6.9 tohto článku tejto Zmluvy potvrdiť bezodkladne, a to vo forme zaslania potvrdzovacej odpovede na emailovú adresu Kupujúceho, z ktorej mu bola požiadavka Kupujúceho podľa bodu 6.9 tohto článku tejto Zmluvy odoslaná.</w:t>
      </w:r>
    </w:p>
    <w:p w14:paraId="0B20D7B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600AE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6.12</w:t>
      </w:r>
      <w:r w:rsidRPr="002B5EBC">
        <w:rPr>
          <w:rFonts w:ascii="Century Gothic" w:hAnsi="Century Gothic"/>
          <w:sz w:val="18"/>
          <w:szCs w:val="18"/>
        </w:rPr>
        <w:tab/>
        <w:t>V prípade požiadavky Kupujúceho podľa bodu 6.9 tohto článku tejto Zmluvy je Predávajúci povinný zabezpečiť bezplatné pravidelné servisné prehliadky Predmetu plnenia a s tým súvisiaci bezplatný pravidelný servis Predmetu plnenia, bezodkladne, najneskôr                                                          však do štyridsaťosem (48) hodín od okamihu doručenia požiadavky Kupujúceho podľa bodu 6.9 tohto článku tejto Zmluvy na emailovú adresu Predávajúceho podľa bodu 6.10 tohto článku tejto Zmluvy, ak sa Zmluvné strany písomne nedohodnú na inej primeranej lehote, ktorá však nesmie presiahnuť tridsať (30) kalendárnych dní od okamihu doručenia požiadavky Kupujúceho podľa bodu 6.9 tohto článku tejto Zmluvy na emailovú adresu Predávajúceho podľa bodu 6.10 tohto článku tejto Zmluvy.</w:t>
      </w:r>
    </w:p>
    <w:p w14:paraId="6335F320" w14:textId="77777777" w:rsidR="002B5EBC" w:rsidRPr="002B5EBC" w:rsidRDefault="002B5EBC" w:rsidP="002B5EBC">
      <w:pPr>
        <w:spacing w:after="0" w:line="276" w:lineRule="auto"/>
        <w:contextualSpacing/>
        <w:jc w:val="both"/>
        <w:rPr>
          <w:rFonts w:ascii="Century Gothic" w:hAnsi="Century Gothic"/>
          <w:sz w:val="18"/>
          <w:szCs w:val="18"/>
        </w:rPr>
      </w:pPr>
    </w:p>
    <w:p w14:paraId="27BCF58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6.13</w:t>
      </w:r>
      <w:r w:rsidRPr="002B5EBC">
        <w:rPr>
          <w:rFonts w:ascii="Century Gothic" w:hAnsi="Century Gothic"/>
          <w:sz w:val="18"/>
          <w:szCs w:val="18"/>
        </w:rPr>
        <w:tab/>
        <w:t>Predávajúci je povinný po každej pravidelnej servisnej prehliadke Predmetu plnenia                         a s tým súvisiacim bezplatným pravidelným servisom Predmetu plnenia, zabezpečiť zápis o vykonaných úkonoch podľa bodu 6.9 tohto článku tejto Zmluvy do príslušnej dokumentácie Predmetu plnenia resp. vydanie listiny preukazujúcej vykonanie úkonu podľa bodu 6.9 tohto článku tejto Zmluvy v rámci Predmetu plnenia, pričom pokiaľ uvedené nezabezpečí, úkon podľa bodu 6.9 tohto článku tejto Zmluvy sa nepovažuje za vykonaný.</w:t>
      </w:r>
    </w:p>
    <w:p w14:paraId="17243342" w14:textId="77777777" w:rsidR="002B5EBC" w:rsidRPr="002B5EBC" w:rsidRDefault="002B5EBC" w:rsidP="002B5EBC">
      <w:pPr>
        <w:spacing w:after="0" w:line="276" w:lineRule="auto"/>
        <w:contextualSpacing/>
        <w:jc w:val="both"/>
        <w:rPr>
          <w:rFonts w:ascii="Century Gothic" w:hAnsi="Century Gothic"/>
          <w:sz w:val="18"/>
          <w:szCs w:val="18"/>
        </w:rPr>
      </w:pPr>
    </w:p>
    <w:p w14:paraId="62CF1E1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6.14</w:t>
      </w:r>
      <w:r w:rsidRPr="002B5EBC">
        <w:rPr>
          <w:rFonts w:ascii="Century Gothic" w:hAnsi="Century Gothic"/>
          <w:sz w:val="18"/>
          <w:szCs w:val="18"/>
        </w:rPr>
        <w:tab/>
        <w:t>V prípade, ak Predávajúci nezabezpečí bezplatné pravidelné servisné prehliadky Predmetu plnenia a s tým súvisiaci bezplatný pravidelný servis Predmetu plnenia, riadne a včas, t. j.                       za podmienok a v lehotách podľa tejto Zmluvy alebo ak Predávajúci zabezpečí začatie vykonávania týchto úkonov, ale nepokračuje v nich riadne a v lehotách podľa tejto Zmluvy,                 má Kupujúci právo zabezpečiť tieto úkony sám alebo prostredníctvom tretej osoby,                                         a to aj bez predchádzajúceho informovania Predávajúceho. V takýchto prípadoch je Kupujúci oprávnený od Predávajúceho požadovať úhradu nákladov, ktoré Kupujúci vynaložil                                        na zabezpečenie pravidelných servisných prehliadok Predmetu plnenia                                                    a s tým súvisiaci pravidelný servis Predmetu plnenia. Uvedeným postupom Kupujúceho                           nie sú dotknuté nároky Kupujúceho v zmysle článku VII. tejto Zmluvy.</w:t>
      </w:r>
    </w:p>
    <w:p w14:paraId="3EC1BA76"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V prípade omeškania Predávajúceho so splnením ktorejkoľvek podmienky podľa bodu 5.2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C6BCF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7.4</w:t>
      </w:r>
      <w:r w:rsidRPr="002B5EBC">
        <w:rPr>
          <w:rFonts w:ascii="Century Gothic" w:hAnsi="Century Gothic"/>
          <w:sz w:val="18"/>
          <w:szCs w:val="18"/>
        </w:rPr>
        <w:tab/>
        <w:t xml:space="preserve">V prípade omeškania Predávajúceho so splnením jeho povinnosti podľa bodu 6.5 článku VI. tejto Zmluvy, má Kupujúci voči Predávajúcemu nárok na zaplatenie zmluvnej pokuty vo výške </w:t>
      </w:r>
      <w:r w:rsidR="00F8140B">
        <w:rPr>
          <w:rFonts w:ascii="Century Gothic" w:hAnsi="Century Gothic"/>
          <w:sz w:val="18"/>
          <w:szCs w:val="18"/>
        </w:rPr>
        <w:t xml:space="preserve">                       sto</w:t>
      </w:r>
      <w:r w:rsidRPr="002B5EBC">
        <w:rPr>
          <w:rFonts w:ascii="Century Gothic" w:hAnsi="Century Gothic"/>
          <w:sz w:val="18"/>
          <w:szCs w:val="18"/>
        </w:rPr>
        <w:t xml:space="preserve"> (</w:t>
      </w:r>
      <w:r w:rsidR="00F8140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5F033C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A3DC1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7.5</w:t>
      </w:r>
      <w:r w:rsidRPr="002B5EBC">
        <w:rPr>
          <w:rFonts w:ascii="Century Gothic" w:hAnsi="Century Gothic"/>
          <w:sz w:val="18"/>
          <w:szCs w:val="18"/>
        </w:rPr>
        <w:tab/>
        <w:t xml:space="preserve">V prípade omeškania Predávajúceho so splnením jeho povinnosti podľa bodu 6.12 článku VI. tejto Zmluvy, má Kupujúci voči Predávajúcemu nárok na zaplatenie zmluvnej pokuty vo výške </w:t>
      </w:r>
      <w:r w:rsidR="00F3249B">
        <w:rPr>
          <w:rFonts w:ascii="Century Gothic" w:hAnsi="Century Gothic"/>
          <w:sz w:val="18"/>
          <w:szCs w:val="18"/>
        </w:rPr>
        <w:t xml:space="preserve">                     sto</w:t>
      </w:r>
      <w:r w:rsidRPr="002B5EBC">
        <w:rPr>
          <w:rFonts w:ascii="Century Gothic" w:hAnsi="Century Gothic"/>
          <w:sz w:val="18"/>
          <w:szCs w:val="18"/>
        </w:rPr>
        <w:t xml:space="preserve"> (</w:t>
      </w:r>
      <w:r w:rsidR="00F3249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4E3DD6B5" w14:textId="77777777" w:rsidR="002B5EBC" w:rsidRPr="002B5EBC" w:rsidRDefault="002B5EBC" w:rsidP="002B5EBC">
      <w:pPr>
        <w:spacing w:after="0" w:line="276" w:lineRule="auto"/>
        <w:contextualSpacing/>
        <w:jc w:val="both"/>
        <w:rPr>
          <w:rFonts w:ascii="Century Gothic" w:hAnsi="Century Gothic"/>
          <w:sz w:val="18"/>
          <w:szCs w:val="18"/>
        </w:rPr>
      </w:pPr>
    </w:p>
    <w:p w14:paraId="3562CB4D" w14:textId="77777777" w:rsidR="00F8140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7.6</w:t>
      </w:r>
      <w:r w:rsidRPr="002B5EBC">
        <w:rPr>
          <w:rFonts w:ascii="Century Gothic" w:hAnsi="Century Gothic"/>
          <w:sz w:val="18"/>
          <w:szCs w:val="18"/>
        </w:rPr>
        <w:tab/>
        <w:t>Úhradou zmluvnej pokuty zo strany Predávajúceho podľa tejto Zmluvy nie je dotknutý nárok Kupujúceho na náhradu škody v plnej výške.</w:t>
      </w:r>
    </w:p>
    <w:p w14:paraId="2A1E11E1" w14:textId="77777777" w:rsidR="00F8140B" w:rsidRDefault="00F8140B" w:rsidP="002B5EBC">
      <w:pPr>
        <w:spacing w:after="0" w:line="276" w:lineRule="auto"/>
        <w:contextualSpacing/>
        <w:jc w:val="both"/>
        <w:rPr>
          <w:rFonts w:ascii="Century Gothic" w:hAnsi="Century Gothic"/>
          <w:sz w:val="18"/>
          <w:szCs w:val="18"/>
        </w:rPr>
      </w:pPr>
    </w:p>
    <w:p w14:paraId="5EA0B476" w14:textId="77777777" w:rsidR="00F3249B" w:rsidRPr="002B5EBC" w:rsidRDefault="00F3249B"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0BEBDEB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8.1</w:t>
      </w:r>
      <w:r w:rsidRPr="002B5EBC">
        <w:rPr>
          <w:rFonts w:ascii="Century Gothic" w:hAnsi="Century Gothic"/>
          <w:sz w:val="18"/>
          <w:szCs w:val="18"/>
        </w:rPr>
        <w:tab/>
        <w:t xml:space="preserve">Predávajúci je v súvislosti s dodaním Predmetu plnenia podľa tejto Zmluvy Kupujúcemu oprávnený realizovať časť Predmetu plnenia prostredníctvom subdodávateľa resp. viacerých subdodávateľov. Oprávnenie Predávajúceho podľa predchádzajúcej vety sa však nevzťahuje na dodanie Predmetu plnenia podľa tejto Zmluvy prostredníctvom subdodávateľa resp. viacerých subdodávateľov ako celku. Zodpovednosť za dodanie Predmetu plnenia podľa tejto Zmluvy v prípade realizácie časti Predmetu plnenia podľa tejto Zmluvy prostredníctvom subdodávateľa resp. viacerých subdodávateľov nesie v celom rozsahu Predávajúci. </w:t>
      </w: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1CC0634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50DA1">
        <w:rPr>
          <w:rFonts w:ascii="Century Gothic" w:hAnsi="Century Gothic"/>
          <w:color w:val="auto"/>
          <w:sz w:val="18"/>
          <w:szCs w:val="18"/>
        </w:rPr>
        <w:t>.....................</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lastRenderedPageBreak/>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Zmluvné strany sa zaväzujú 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z iných záväzkov Predávajúceho voči Kupujúcemu a Predávajúci k tomu týmto dáva 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10.5 </w:t>
      </w:r>
      <w:r w:rsidRPr="002B5EBC">
        <w:rPr>
          <w:rFonts w:ascii="Century Gothic" w:hAnsi="Century Gothic"/>
          <w:sz w:val="18"/>
          <w:szCs w:val="18"/>
        </w:rPr>
        <w:tab/>
        <w:t xml:space="preserve">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w:t>
      </w:r>
      <w:r w:rsidRPr="002B5EBC">
        <w:rPr>
          <w:rFonts w:ascii="Century Gothic" w:hAnsi="Century Gothic"/>
          <w:sz w:val="18"/>
          <w:szCs w:val="18"/>
        </w:rPr>
        <w:lastRenderedPageBreak/>
        <w:t>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ABD853"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3 – zoznam subdodávateľov</w:t>
      </w:r>
      <w:r w:rsidR="00F3249B">
        <w:rPr>
          <w:rFonts w:ascii="Century Gothic" w:hAnsi="Century Gothic"/>
          <w:sz w:val="18"/>
          <w:szCs w:val="18"/>
        </w:rPr>
        <w:t xml:space="preserve"> Predávajúceho</w:t>
      </w:r>
      <w:r w:rsidRPr="002B5EBC">
        <w:rPr>
          <w:rFonts w:ascii="Century Gothic" w:hAnsi="Century Gothic"/>
          <w:sz w:val="18"/>
          <w:szCs w:val="18"/>
        </w:rPr>
        <w:t>.</w:t>
      </w: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Táto Zmluva je vyhotovená v troch (3) rovnopisoch, každý s platnosťou originálu, pričom Kupujúci obdrží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2C90E462"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V </w:t>
      </w:r>
      <w:r w:rsidR="005D48E7">
        <w:rPr>
          <w:rFonts w:ascii="Century Gothic" w:hAnsi="Century Gothic"/>
          <w:sz w:val="18"/>
          <w:szCs w:val="18"/>
        </w:rPr>
        <w:t>Brezne</w:t>
      </w:r>
      <w:r w:rsidRPr="002B5EBC">
        <w:rPr>
          <w:rFonts w:ascii="Century Gothic" w:hAnsi="Century Gothic"/>
          <w:sz w:val="18"/>
          <w:szCs w:val="18"/>
        </w:rPr>
        <w:t xml:space="preserve"> dňa 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V </w:t>
      </w:r>
      <w:r w:rsidR="005D48E7">
        <w:rPr>
          <w:rFonts w:ascii="Century Gothic" w:hAnsi="Century Gothic"/>
          <w:sz w:val="18"/>
          <w:szCs w:val="18"/>
        </w:rPr>
        <w:t>.........................</w:t>
      </w:r>
      <w:r w:rsidRPr="002B5EBC">
        <w:rPr>
          <w:rFonts w:ascii="Century Gothic" w:hAnsi="Century Gothic"/>
          <w:sz w:val="18"/>
          <w:szCs w:val="18"/>
        </w:rPr>
        <w:t xml:space="preserve">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4AFF51E7" w:rsid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4A200F7F" w14:textId="1276C6AC" w:rsidR="005D48E7" w:rsidRP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22DEDB4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p>
    <w:p w14:paraId="510B1270" w14:textId="77777777" w:rsidR="005D48E7"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30CF343F" w14:textId="77777777" w:rsidR="005D48E7" w:rsidRPr="002B5EBC"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225A7415" w14:textId="77777777" w:rsidR="002B5EBC" w:rsidRPr="002B5EBC" w:rsidRDefault="002B5EBC" w:rsidP="002B5EBC">
      <w:pPr>
        <w:spacing w:after="0" w:line="276" w:lineRule="auto"/>
        <w:contextualSpacing/>
        <w:jc w:val="both"/>
        <w:rPr>
          <w:rFonts w:ascii="Century Gothic" w:hAnsi="Century Gothic"/>
          <w:sz w:val="18"/>
          <w:szCs w:val="18"/>
        </w:rPr>
      </w:pPr>
    </w:p>
    <w:p w14:paraId="03241D8D"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90274E">
      <w:pPr>
        <w:spacing w:after="0" w:line="276" w:lineRule="auto"/>
        <w:contextualSpacing/>
        <w:jc w:val="both"/>
        <w:rPr>
          <w:rFonts w:ascii="Century Gothic" w:hAnsi="Century Gothic"/>
          <w:i/>
          <w:sz w:val="18"/>
          <w:szCs w:val="18"/>
        </w:rPr>
      </w:pPr>
      <w:r w:rsidRPr="002B5EBC">
        <w:rPr>
          <w:rFonts w:ascii="Century Gothic" w:hAnsi="Century Gothic"/>
          <w:sz w:val="18"/>
          <w:szCs w:val="18"/>
        </w:rPr>
        <w:lastRenderedPageBreak/>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3F8F34D2" w14:textId="77777777" w:rsidR="00F3249B" w:rsidRDefault="00F3249B" w:rsidP="002B5EBC">
      <w:pPr>
        <w:spacing w:after="0" w:line="276" w:lineRule="auto"/>
        <w:ind w:firstLine="708"/>
        <w:contextualSpacing/>
        <w:jc w:val="both"/>
        <w:rPr>
          <w:rFonts w:ascii="Century Gothic" w:hAnsi="Century Gothic"/>
          <w:sz w:val="18"/>
          <w:szCs w:val="18"/>
        </w:rPr>
      </w:pPr>
    </w:p>
    <w:p w14:paraId="73EA3FCB" w14:textId="77777777" w:rsidR="00F3249B" w:rsidRDefault="00F3249B" w:rsidP="002B5EBC">
      <w:pPr>
        <w:spacing w:after="0" w:line="276" w:lineRule="auto"/>
        <w:ind w:firstLine="708"/>
        <w:contextualSpacing/>
        <w:jc w:val="both"/>
        <w:rPr>
          <w:rFonts w:ascii="Century Gothic" w:hAnsi="Century Gothic"/>
          <w:sz w:val="18"/>
          <w:szCs w:val="18"/>
        </w:rPr>
      </w:pPr>
    </w:p>
    <w:p w14:paraId="7C9E47FA"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2B5EBC">
      <w:pPr>
        <w:spacing w:after="0" w:line="276" w:lineRule="auto"/>
        <w:ind w:firstLine="708"/>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DFF040" w14:textId="37FF4C34" w:rsidR="00B30427" w:rsidRPr="00FB2CC9" w:rsidRDefault="002B5EBC" w:rsidP="00897FBA">
      <w:pPr>
        <w:spacing w:after="0" w:line="240" w:lineRule="auto"/>
        <w:ind w:firstLine="708"/>
        <w:contextualSpacing/>
        <w:jc w:val="both"/>
        <w:rPr>
          <w:rFonts w:ascii="Century Gothic" w:hAnsi="Century Gothic"/>
          <w:szCs w:val="20"/>
        </w:rPr>
      </w:pPr>
      <w:r w:rsidRPr="00FB2CC9">
        <w:rPr>
          <w:rFonts w:ascii="Century Gothic" w:hAnsi="Century Gothic"/>
          <w:szCs w:val="20"/>
        </w:rPr>
        <w:t>Príloha č. 3 – zoznam su</w:t>
      </w:r>
      <w:r w:rsidR="00F3249B" w:rsidRPr="00FB2CC9">
        <w:rPr>
          <w:rFonts w:ascii="Century Gothic" w:hAnsi="Century Gothic"/>
          <w:szCs w:val="20"/>
        </w:rPr>
        <w:t>bd</w:t>
      </w:r>
      <w:r w:rsidRPr="00FB2CC9">
        <w:rPr>
          <w:rFonts w:ascii="Century Gothic" w:hAnsi="Century Gothic"/>
          <w:szCs w:val="20"/>
        </w:rPr>
        <w:t>odávateľov</w:t>
      </w:r>
      <w:r w:rsidR="00F3249B" w:rsidRPr="00FB2CC9">
        <w:rPr>
          <w:rFonts w:ascii="Century Gothic" w:hAnsi="Century Gothic"/>
          <w:szCs w:val="20"/>
        </w:rPr>
        <w:t xml:space="preserve"> Predávajúceho</w:t>
      </w:r>
    </w:p>
    <w:p w14:paraId="58108AFC" w14:textId="77777777" w:rsidR="00B30427" w:rsidRPr="00FB2CC9" w:rsidRDefault="00B30427" w:rsidP="00897FBA">
      <w:pPr>
        <w:tabs>
          <w:tab w:val="left" w:pos="567"/>
        </w:tabs>
        <w:spacing w:after="0" w:line="240" w:lineRule="auto"/>
        <w:rPr>
          <w:rFonts w:ascii="Century Gothic" w:hAnsi="Century Gothic" w:cs="Calibri"/>
          <w:color w:val="FF0000"/>
          <w:szCs w:val="20"/>
        </w:rPr>
      </w:pPr>
    </w:p>
    <w:p w14:paraId="693AAA69" w14:textId="77777777" w:rsidR="00A22C5F" w:rsidRPr="008B2D42" w:rsidRDefault="00A22C5F" w:rsidP="00A22C5F">
      <w:pPr>
        <w:tabs>
          <w:tab w:val="left" w:pos="567"/>
        </w:tabs>
        <w:spacing w:after="0" w:line="240" w:lineRule="auto"/>
        <w:rPr>
          <w:rFonts w:ascii="Calibri" w:hAnsi="Calibri" w:cs="Calibri"/>
          <w:i/>
          <w:iCs/>
        </w:rPr>
      </w:pPr>
      <w:r w:rsidRPr="008B2D42">
        <w:rPr>
          <w:rFonts w:ascii="Calibri" w:hAnsi="Calibri" w:cs="Calibri"/>
          <w:i/>
          <w:iCs/>
        </w:rPr>
        <w:t>Označiť jednu z</w:t>
      </w:r>
      <w:r>
        <w:rPr>
          <w:rFonts w:ascii="Calibri" w:hAnsi="Calibri" w:cs="Calibri"/>
          <w:i/>
          <w:iCs/>
        </w:rPr>
        <w:t> </w:t>
      </w:r>
      <w:r w:rsidRPr="008B2D42">
        <w:rPr>
          <w:rFonts w:ascii="Calibri" w:hAnsi="Calibri" w:cs="Calibri"/>
          <w:i/>
          <w:iCs/>
        </w:rPr>
        <w:t>možností:</w:t>
      </w:r>
      <w:r w:rsidRPr="008B2D42">
        <w:rPr>
          <w:rFonts w:ascii="Calibri" w:hAnsi="Calibri" w:cs="Calibri"/>
        </w:rPr>
        <w:t>*</w:t>
      </w:r>
    </w:p>
    <w:p w14:paraId="0AA868EC" w14:textId="77777777" w:rsidR="00A22C5F" w:rsidRDefault="00A22C5F" w:rsidP="00A22C5F">
      <w:pPr>
        <w:tabs>
          <w:tab w:val="left" w:pos="567"/>
        </w:tabs>
        <w:spacing w:after="0" w:line="240" w:lineRule="auto"/>
        <w:rPr>
          <w:rFonts w:ascii="Calibri" w:hAnsi="Calibri" w:cs="Calibri"/>
          <w:color w:val="FF0000"/>
        </w:rPr>
      </w:pPr>
    </w:p>
    <w:tbl>
      <w:tblPr>
        <w:tblW w:w="10031" w:type="dxa"/>
        <w:tblLook w:val="04A0" w:firstRow="1" w:lastRow="0" w:firstColumn="1" w:lastColumn="0" w:noHBand="0" w:noVBand="1"/>
      </w:tblPr>
      <w:tblGrid>
        <w:gridCol w:w="277"/>
        <w:gridCol w:w="9754"/>
      </w:tblGrid>
      <w:tr w:rsidR="00A22C5F" w:rsidRPr="00765453" w14:paraId="4E46A16C"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79CDD2FD"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68242905"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nebudú podieľať subdodávatelia.</w:t>
            </w:r>
          </w:p>
        </w:tc>
      </w:tr>
      <w:tr w:rsidR="00A22C5F" w:rsidRPr="00765453" w14:paraId="2F4A52F7" w14:textId="77777777" w:rsidTr="00F27AA7">
        <w:tc>
          <w:tcPr>
            <w:tcW w:w="277" w:type="dxa"/>
            <w:tcBorders>
              <w:top w:val="single" w:sz="4" w:space="0" w:color="auto"/>
              <w:bottom w:val="single" w:sz="4" w:space="0" w:color="auto"/>
            </w:tcBorders>
            <w:shd w:val="clear" w:color="auto" w:fill="auto"/>
          </w:tcPr>
          <w:p w14:paraId="06AB88B3" w14:textId="77777777" w:rsidR="00A22C5F" w:rsidRPr="00765453" w:rsidRDefault="00A22C5F" w:rsidP="00A22C5F">
            <w:pPr>
              <w:tabs>
                <w:tab w:val="left" w:pos="567"/>
              </w:tabs>
              <w:spacing w:after="0" w:line="240" w:lineRule="auto"/>
              <w:rPr>
                <w:rFonts w:ascii="Calibri" w:hAnsi="Calibri" w:cs="Calibri"/>
              </w:rPr>
            </w:pPr>
          </w:p>
        </w:tc>
        <w:tc>
          <w:tcPr>
            <w:tcW w:w="9754" w:type="dxa"/>
            <w:shd w:val="clear" w:color="auto" w:fill="auto"/>
          </w:tcPr>
          <w:p w14:paraId="7DA7F40B" w14:textId="77777777" w:rsidR="00A22C5F" w:rsidRPr="00765453" w:rsidRDefault="00A22C5F" w:rsidP="00A22C5F">
            <w:pPr>
              <w:tabs>
                <w:tab w:val="left" w:pos="567"/>
              </w:tabs>
              <w:spacing w:after="0" w:line="240" w:lineRule="auto"/>
              <w:rPr>
                <w:rFonts w:ascii="Calibri" w:hAnsi="Calibri" w:cs="Calibri"/>
              </w:rPr>
            </w:pPr>
          </w:p>
        </w:tc>
      </w:tr>
      <w:tr w:rsidR="00A22C5F" w:rsidRPr="00765453" w14:paraId="5A822E52"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515DA911"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112BDB21"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budú podieľať títo subdodávatelia:</w:t>
            </w:r>
          </w:p>
        </w:tc>
      </w:tr>
    </w:tbl>
    <w:p w14:paraId="4F37D582" w14:textId="77777777" w:rsidR="00A22C5F" w:rsidRDefault="00A22C5F" w:rsidP="00A22C5F">
      <w:pPr>
        <w:tabs>
          <w:tab w:val="left" w:pos="567"/>
        </w:tabs>
        <w:spacing w:after="0" w:line="240" w:lineRule="auto"/>
        <w:rPr>
          <w:rFonts w:ascii="Calibri" w:hAnsi="Calibri" w:cs="Calibri"/>
          <w:color w:val="FF0000"/>
        </w:rPr>
      </w:pPr>
    </w:p>
    <w:p w14:paraId="2C06AE46" w14:textId="77777777" w:rsidR="00A22C5F" w:rsidRPr="00765453" w:rsidRDefault="00A22C5F" w:rsidP="00A22C5F">
      <w:pPr>
        <w:spacing w:after="0" w:line="240"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047"/>
        <w:gridCol w:w="1977"/>
        <w:gridCol w:w="1863"/>
        <w:gridCol w:w="1894"/>
      </w:tblGrid>
      <w:tr w:rsidR="00A22C5F" w:rsidRPr="00765453" w14:paraId="3449D08D" w14:textId="77777777" w:rsidTr="00F27AA7">
        <w:trPr>
          <w:trHeight w:val="369"/>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894D" w14:textId="77777777" w:rsidR="00A22C5F" w:rsidRPr="00765453" w:rsidRDefault="00A22C5F" w:rsidP="00A22C5F">
            <w:pPr>
              <w:spacing w:after="0" w:line="240" w:lineRule="auto"/>
              <w:jc w:val="center"/>
              <w:rPr>
                <w:rFonts w:ascii="Calibri" w:hAnsi="Calibri" w:cs="Calibri"/>
              </w:rPr>
            </w:pPr>
            <w:proofErr w:type="spellStart"/>
            <w:r w:rsidRPr="00765453">
              <w:rPr>
                <w:rFonts w:ascii="Calibri" w:hAnsi="Calibri" w:cs="Calibri"/>
              </w:rPr>
              <w:t>P.č</w:t>
            </w:r>
            <w:proofErr w:type="spellEnd"/>
            <w:r w:rsidRPr="00765453">
              <w:rPr>
                <w:rFonts w:ascii="Calibri" w:hAnsi="Calibri" w:cs="Calibri"/>
              </w:rPr>
              <w:t>.</w:t>
            </w:r>
          </w:p>
        </w:tc>
        <w:tc>
          <w:tcPr>
            <w:tcW w:w="3288" w:type="dxa"/>
            <w:vMerge w:val="restart"/>
            <w:tcBorders>
              <w:top w:val="single" w:sz="4" w:space="0" w:color="auto"/>
              <w:left w:val="single" w:sz="4" w:space="0" w:color="auto"/>
              <w:right w:val="single" w:sz="4" w:space="0" w:color="auto"/>
            </w:tcBorders>
            <w:shd w:val="clear" w:color="auto" w:fill="auto"/>
            <w:vAlign w:val="center"/>
            <w:hideMark/>
          </w:tcPr>
          <w:p w14:paraId="3A980898" w14:textId="77777777" w:rsidR="00A22C5F" w:rsidRPr="00765453" w:rsidRDefault="00A22C5F" w:rsidP="00A22C5F">
            <w:pPr>
              <w:spacing w:after="0" w:line="240" w:lineRule="auto"/>
              <w:rPr>
                <w:rFonts w:ascii="Calibri" w:hAnsi="Calibri" w:cs="Calibri"/>
              </w:rPr>
            </w:pPr>
            <w:r w:rsidRPr="00765453">
              <w:rPr>
                <w:rFonts w:ascii="Calibri" w:hAnsi="Calibri" w:cs="Calibri"/>
              </w:rPr>
              <w:t>Údaje o subdodávateľoch - obchodné meno, IČO:</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758E7CD7" w14:textId="77777777" w:rsidR="00A22C5F" w:rsidRPr="00765453" w:rsidRDefault="00A22C5F" w:rsidP="00A22C5F">
            <w:pPr>
              <w:spacing w:after="0" w:line="240" w:lineRule="auto"/>
              <w:rPr>
                <w:rFonts w:ascii="Calibri" w:hAnsi="Calibri" w:cs="Calibri"/>
              </w:rPr>
            </w:pPr>
            <w:r w:rsidRPr="00765453">
              <w:rPr>
                <w:rFonts w:ascii="Calibri" w:hAnsi="Calibri" w:cs="Calibri"/>
              </w:rPr>
              <w:t>Podiel subdodávky na celkovej dodávke v %:</w:t>
            </w:r>
          </w:p>
        </w:tc>
        <w:tc>
          <w:tcPr>
            <w:tcW w:w="4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584B33" w14:textId="77777777" w:rsidR="00A22C5F" w:rsidRPr="00765453" w:rsidRDefault="00A22C5F" w:rsidP="00A22C5F">
            <w:pPr>
              <w:spacing w:after="0" w:line="240" w:lineRule="auto"/>
              <w:rPr>
                <w:rFonts w:ascii="Calibri" w:hAnsi="Calibri" w:cs="Calibri"/>
              </w:rPr>
            </w:pPr>
            <w:r w:rsidRPr="00765453">
              <w:rPr>
                <w:rFonts w:ascii="Calibri" w:hAnsi="Calibri" w:cs="Calibri"/>
              </w:rPr>
              <w:t>Osoba oprávnená konať za subdodávateľa:</w:t>
            </w:r>
          </w:p>
        </w:tc>
      </w:tr>
      <w:tr w:rsidR="00A22C5F" w:rsidRPr="00765453" w14:paraId="57DF50DF" w14:textId="77777777" w:rsidTr="00F27AA7">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26FCB" w14:textId="77777777" w:rsidR="00A22C5F" w:rsidRPr="00765453" w:rsidRDefault="00A22C5F" w:rsidP="00A22C5F">
            <w:pPr>
              <w:spacing w:after="0" w:line="240" w:lineRule="auto"/>
              <w:rPr>
                <w:rFonts w:ascii="Calibri" w:hAnsi="Calibri" w:cs="Calibri"/>
              </w:rPr>
            </w:pPr>
          </w:p>
        </w:tc>
        <w:tc>
          <w:tcPr>
            <w:tcW w:w="3288" w:type="dxa"/>
            <w:vMerge/>
            <w:tcBorders>
              <w:left w:val="single" w:sz="4" w:space="0" w:color="auto"/>
              <w:bottom w:val="single" w:sz="4" w:space="0" w:color="auto"/>
              <w:right w:val="single" w:sz="4" w:space="0" w:color="auto"/>
            </w:tcBorders>
            <w:shd w:val="clear" w:color="auto" w:fill="auto"/>
            <w:vAlign w:val="center"/>
            <w:hideMark/>
          </w:tcPr>
          <w:p w14:paraId="3A17658F" w14:textId="77777777" w:rsidR="00A22C5F" w:rsidRPr="00765453" w:rsidRDefault="00A22C5F" w:rsidP="00A22C5F">
            <w:pPr>
              <w:spacing w:after="0" w:line="240" w:lineRule="auto"/>
              <w:rPr>
                <w:rFonts w:ascii="Calibri" w:hAnsi="Calibri" w:cs="Calibri"/>
              </w:rPr>
            </w:pPr>
          </w:p>
        </w:tc>
        <w:tc>
          <w:tcPr>
            <w:tcW w:w="2126" w:type="dxa"/>
            <w:vMerge/>
            <w:tcBorders>
              <w:left w:val="single" w:sz="4" w:space="0" w:color="auto"/>
              <w:bottom w:val="single" w:sz="4" w:space="0" w:color="auto"/>
              <w:right w:val="single" w:sz="4" w:space="0" w:color="auto"/>
            </w:tcBorders>
            <w:shd w:val="clear" w:color="auto" w:fill="auto"/>
            <w:vAlign w:val="center"/>
          </w:tcPr>
          <w:p w14:paraId="2E9FFC3D"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C691B" w14:textId="77777777" w:rsidR="00A22C5F" w:rsidRPr="00765453" w:rsidRDefault="00A22C5F" w:rsidP="00A22C5F">
            <w:pPr>
              <w:spacing w:after="0" w:line="240" w:lineRule="auto"/>
              <w:rPr>
                <w:rFonts w:ascii="Calibri" w:hAnsi="Calibri" w:cs="Calibri"/>
              </w:rPr>
            </w:pPr>
            <w:r w:rsidRPr="00765453">
              <w:rPr>
                <w:rFonts w:ascii="Calibri" w:hAnsi="Calibri" w:cs="Calibri"/>
              </w:rPr>
              <w:t>Meno a priezvisko, dátum narodenia:</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90C72" w14:textId="77777777" w:rsidR="00A22C5F" w:rsidRPr="00765453" w:rsidRDefault="00A22C5F" w:rsidP="00A22C5F">
            <w:pPr>
              <w:spacing w:after="0" w:line="240" w:lineRule="auto"/>
              <w:rPr>
                <w:rFonts w:ascii="Calibri" w:hAnsi="Calibri" w:cs="Calibri"/>
              </w:rPr>
            </w:pPr>
            <w:r w:rsidRPr="00765453">
              <w:rPr>
                <w:rFonts w:ascii="Calibri" w:hAnsi="Calibri" w:cs="Calibri"/>
              </w:rPr>
              <w:t>Adresa pobytu:</w:t>
            </w:r>
          </w:p>
        </w:tc>
      </w:tr>
      <w:tr w:rsidR="00A22C5F" w:rsidRPr="00765453" w14:paraId="326C02FE" w14:textId="77777777" w:rsidTr="00F27AA7">
        <w:trPr>
          <w:trHeight w:val="77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E64BD"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7DB6573"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CFCED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3F9ED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CBDA4E7" w14:textId="77777777" w:rsidR="00A22C5F" w:rsidRPr="00765453" w:rsidRDefault="00A22C5F" w:rsidP="00A22C5F">
            <w:pPr>
              <w:spacing w:after="0" w:line="240" w:lineRule="auto"/>
              <w:rPr>
                <w:rFonts w:ascii="Calibri" w:hAnsi="Calibri" w:cs="Calibri"/>
              </w:rPr>
            </w:pPr>
          </w:p>
        </w:tc>
      </w:tr>
      <w:tr w:rsidR="00A22C5F" w:rsidRPr="00765453" w14:paraId="553C131F" w14:textId="77777777" w:rsidTr="00F27AA7">
        <w:trPr>
          <w:trHeight w:val="699"/>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924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2.</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AE79CFC"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7E5EA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0287E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0D24BB8F" w14:textId="77777777" w:rsidR="00A22C5F" w:rsidRPr="00765453" w:rsidRDefault="00A22C5F" w:rsidP="00A22C5F">
            <w:pPr>
              <w:spacing w:after="0" w:line="240" w:lineRule="auto"/>
              <w:rPr>
                <w:rFonts w:ascii="Calibri" w:hAnsi="Calibri" w:cs="Calibri"/>
              </w:rPr>
            </w:pPr>
          </w:p>
        </w:tc>
      </w:tr>
      <w:tr w:rsidR="00A22C5F" w:rsidRPr="00765453" w14:paraId="7127F28B" w14:textId="77777777" w:rsidTr="00F27AA7">
        <w:trPr>
          <w:trHeight w:val="69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729C"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57CF84"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C0FD1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BABBEA"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5C7E84F" w14:textId="77777777" w:rsidR="00A22C5F" w:rsidRPr="00765453" w:rsidRDefault="00A22C5F" w:rsidP="00A22C5F">
            <w:pPr>
              <w:spacing w:after="0" w:line="240" w:lineRule="auto"/>
              <w:rPr>
                <w:rFonts w:ascii="Calibri" w:hAnsi="Calibri" w:cs="Calibri"/>
              </w:rPr>
            </w:pPr>
          </w:p>
        </w:tc>
      </w:tr>
      <w:tr w:rsidR="00A22C5F" w:rsidRPr="00765453" w14:paraId="6122101A" w14:textId="77777777" w:rsidTr="00F27AA7">
        <w:trPr>
          <w:trHeight w:val="70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A22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BA97C1F"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0B95D2"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7F43A0"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8521CA7" w14:textId="77777777" w:rsidR="00A22C5F" w:rsidRPr="00765453" w:rsidRDefault="00A22C5F" w:rsidP="00A22C5F">
            <w:pPr>
              <w:spacing w:after="0" w:line="240" w:lineRule="auto"/>
              <w:rPr>
                <w:rFonts w:ascii="Calibri" w:hAnsi="Calibri" w:cs="Calibri"/>
              </w:rPr>
            </w:pPr>
          </w:p>
        </w:tc>
      </w:tr>
    </w:tbl>
    <w:p w14:paraId="72D0A2B0" w14:textId="77777777" w:rsidR="00A22C5F" w:rsidRPr="00765453" w:rsidRDefault="00A22C5F" w:rsidP="00A22C5F">
      <w:pPr>
        <w:spacing w:after="0" w:line="240" w:lineRule="auto"/>
        <w:rPr>
          <w:rFonts w:ascii="Calibri" w:hAnsi="Calibri" w:cs="Calibri"/>
        </w:rPr>
      </w:pPr>
    </w:p>
    <w:p w14:paraId="48FE33B2" w14:textId="77777777" w:rsidR="00A22C5F" w:rsidRPr="00765453" w:rsidRDefault="00A22C5F" w:rsidP="00A22C5F">
      <w:pPr>
        <w:spacing w:after="0" w:line="240" w:lineRule="auto"/>
        <w:rPr>
          <w:rFonts w:ascii="Calibri" w:hAnsi="Calibri" w:cs="Calibri"/>
        </w:rPr>
      </w:pPr>
      <w:r w:rsidRPr="00765453">
        <w:rPr>
          <w:rFonts w:ascii="Calibri" w:hAnsi="Calibri" w:cs="Calibri"/>
        </w:rPr>
        <w:t>Poznámky:**</w:t>
      </w:r>
    </w:p>
    <w:p w14:paraId="5B1213F2" w14:textId="77777777" w:rsidR="00A22C5F" w:rsidRPr="00765453" w:rsidRDefault="00A22C5F" w:rsidP="00A22C5F">
      <w:pPr>
        <w:spacing w:after="0" w:line="240" w:lineRule="auto"/>
        <w:rPr>
          <w:rFonts w:ascii="Calibri" w:hAnsi="Calibri" w:cs="Calibri"/>
        </w:rPr>
      </w:pPr>
    </w:p>
    <w:p w14:paraId="5F941469"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4EDFF6C1" w14:textId="77777777" w:rsidR="00A22C5F" w:rsidRPr="00765453" w:rsidRDefault="00A22C5F" w:rsidP="00A22C5F">
      <w:pPr>
        <w:spacing w:after="0" w:line="240" w:lineRule="auto"/>
        <w:rPr>
          <w:rFonts w:ascii="Calibri" w:hAnsi="Calibri" w:cs="Calibri"/>
        </w:rPr>
      </w:pPr>
    </w:p>
    <w:p w14:paraId="010A3890"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002895C1" w14:textId="77777777" w:rsidR="00A22C5F" w:rsidRPr="00765453" w:rsidRDefault="00A22C5F" w:rsidP="00A22C5F">
      <w:pPr>
        <w:spacing w:after="0" w:line="240" w:lineRule="auto"/>
        <w:rPr>
          <w:rFonts w:ascii="Calibri" w:hAnsi="Calibri" w:cs="Calibri"/>
        </w:rPr>
      </w:pPr>
    </w:p>
    <w:p w14:paraId="3005AB63"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648CC2A0" w14:textId="77777777" w:rsidR="00A22C5F" w:rsidRPr="00765453" w:rsidRDefault="00A22C5F" w:rsidP="00A22C5F">
      <w:pPr>
        <w:spacing w:after="0" w:line="240" w:lineRule="auto"/>
        <w:rPr>
          <w:rFonts w:ascii="Calibri" w:hAnsi="Calibri" w:cs="Calibri"/>
        </w:rPr>
      </w:pPr>
    </w:p>
    <w:p w14:paraId="07135769" w14:textId="77777777" w:rsidR="00A22C5F" w:rsidRPr="00765453" w:rsidRDefault="00A22C5F" w:rsidP="00A22C5F">
      <w:pPr>
        <w:spacing w:after="0" w:line="240" w:lineRule="auto"/>
        <w:rPr>
          <w:rFonts w:ascii="Calibri" w:hAnsi="Calibri" w:cs="Calibri"/>
        </w:rPr>
      </w:pPr>
      <w:r w:rsidRPr="00765453">
        <w:rPr>
          <w:rFonts w:ascii="Calibri" w:hAnsi="Calibri" w:cs="Calibri"/>
        </w:rPr>
        <w:t>*Označiť možnosť „x“</w:t>
      </w:r>
    </w:p>
    <w:p w14:paraId="0C0CFE1C" w14:textId="77777777" w:rsidR="00A22C5F" w:rsidRPr="00765453" w:rsidRDefault="00A22C5F" w:rsidP="00A22C5F">
      <w:pPr>
        <w:spacing w:after="0" w:line="240" w:lineRule="auto"/>
        <w:rPr>
          <w:rFonts w:ascii="Calibri" w:hAnsi="Calibri" w:cs="Calibri"/>
        </w:rPr>
      </w:pPr>
      <w:r w:rsidRPr="00765453">
        <w:rPr>
          <w:rFonts w:ascii="Calibri" w:hAnsi="Calibri" w:cs="Calibri"/>
        </w:rPr>
        <w:t>**V prípade nezadania podielu zákazky subdodávateľom, uviesť túto skutočnosť do poznámok.</w:t>
      </w:r>
    </w:p>
    <w:p w14:paraId="697D3D07" w14:textId="77777777" w:rsidR="00A22C5F" w:rsidRPr="00765453" w:rsidRDefault="00A22C5F" w:rsidP="00A22C5F">
      <w:pPr>
        <w:spacing w:after="0" w:line="240" w:lineRule="auto"/>
        <w:rPr>
          <w:rFonts w:ascii="Calibri" w:hAnsi="Calibri" w:cs="Calibri"/>
        </w:rPr>
      </w:pPr>
    </w:p>
    <w:p w14:paraId="049B32FA" w14:textId="77777777" w:rsidR="00A22C5F" w:rsidRPr="00765453" w:rsidRDefault="00A22C5F" w:rsidP="00A22C5F">
      <w:pPr>
        <w:spacing w:after="0" w:line="240" w:lineRule="auto"/>
        <w:rPr>
          <w:rFonts w:ascii="Calibri" w:hAnsi="Calibri" w:cs="Calibri"/>
        </w:rPr>
      </w:pPr>
    </w:p>
    <w:p w14:paraId="50FF56D8" w14:textId="77777777" w:rsidR="00A22C5F" w:rsidRPr="00765453" w:rsidRDefault="00A22C5F" w:rsidP="00A22C5F">
      <w:pPr>
        <w:spacing w:after="0" w:line="240" w:lineRule="auto"/>
        <w:rPr>
          <w:rFonts w:ascii="Calibri" w:hAnsi="Calibri" w:cs="Calibri"/>
        </w:rPr>
      </w:pPr>
    </w:p>
    <w:p w14:paraId="6EB374E2" w14:textId="77777777" w:rsidR="00A22C5F" w:rsidRPr="00765453" w:rsidRDefault="00A22C5F" w:rsidP="00A22C5F">
      <w:pPr>
        <w:spacing w:after="0" w:line="240" w:lineRule="auto"/>
        <w:rPr>
          <w:rFonts w:ascii="Calibri" w:hAnsi="Calibri" w:cs="Calibri"/>
        </w:rPr>
      </w:pPr>
    </w:p>
    <w:p w14:paraId="7597E8D3" w14:textId="77777777" w:rsidR="00A22C5F" w:rsidRPr="00765453" w:rsidRDefault="00A22C5F" w:rsidP="00A22C5F">
      <w:pPr>
        <w:spacing w:after="0" w:line="240" w:lineRule="auto"/>
        <w:rPr>
          <w:rFonts w:ascii="Calibri" w:hAnsi="Calibri" w:cs="Calibri"/>
        </w:rPr>
      </w:pPr>
    </w:p>
    <w:p w14:paraId="5FCBE80D" w14:textId="77777777" w:rsidR="00A22C5F" w:rsidRPr="00765453" w:rsidRDefault="00A22C5F" w:rsidP="00A22C5F">
      <w:pPr>
        <w:spacing w:after="0" w:line="240" w:lineRule="auto"/>
        <w:rPr>
          <w:rFonts w:ascii="Calibri" w:hAnsi="Calibri" w:cs="Calibri"/>
        </w:rPr>
      </w:pPr>
    </w:p>
    <w:p w14:paraId="2C922F3D" w14:textId="77777777" w:rsidR="00A22C5F" w:rsidRPr="00765453" w:rsidRDefault="00A22C5F" w:rsidP="00A22C5F">
      <w:pPr>
        <w:spacing w:after="0" w:line="240" w:lineRule="auto"/>
        <w:rPr>
          <w:rFonts w:ascii="Calibri" w:hAnsi="Calibri" w:cs="Calibri"/>
        </w:rPr>
      </w:pPr>
    </w:p>
    <w:p w14:paraId="7F2AFBF1" w14:textId="77777777" w:rsidR="00A22C5F" w:rsidRPr="00765453" w:rsidRDefault="00A22C5F" w:rsidP="00A22C5F">
      <w:pPr>
        <w:spacing w:after="0" w:line="240" w:lineRule="auto"/>
        <w:rPr>
          <w:rFonts w:ascii="Calibri" w:hAnsi="Calibri" w:cs="Calibri"/>
        </w:rPr>
      </w:pPr>
    </w:p>
    <w:p w14:paraId="2F104304" w14:textId="77777777" w:rsidR="00A22C5F" w:rsidRPr="00765453" w:rsidRDefault="00A22C5F" w:rsidP="00A22C5F">
      <w:pPr>
        <w:spacing w:after="0" w:line="240" w:lineRule="auto"/>
        <w:rPr>
          <w:rFonts w:ascii="Calibri" w:hAnsi="Calibri" w:cs="Calibri"/>
        </w:rPr>
      </w:pPr>
      <w:r w:rsidRPr="00765453">
        <w:rPr>
          <w:rFonts w:ascii="Calibri" w:hAnsi="Calibri" w:cs="Calibri"/>
        </w:rPr>
        <w:t>V ........................................., dňa ........................................</w:t>
      </w:r>
      <w:r w:rsidRPr="00765453">
        <w:rPr>
          <w:rFonts w:ascii="Calibri" w:hAnsi="Calibri" w:cs="Calibri"/>
        </w:rPr>
        <w:tab/>
      </w:r>
      <w:r w:rsidRPr="00765453">
        <w:rPr>
          <w:rFonts w:ascii="Calibri" w:hAnsi="Calibri" w:cs="Calibri"/>
        </w:rPr>
        <w:tab/>
      </w:r>
    </w:p>
    <w:p w14:paraId="1DE7AAAD" w14:textId="77777777" w:rsidR="00A22C5F" w:rsidRPr="00765453" w:rsidRDefault="00A22C5F" w:rsidP="00A22C5F">
      <w:pPr>
        <w:spacing w:after="0" w:line="240" w:lineRule="auto"/>
        <w:rPr>
          <w:rFonts w:ascii="Calibri" w:hAnsi="Calibri" w:cs="Calibri"/>
        </w:rPr>
      </w:pPr>
    </w:p>
    <w:p w14:paraId="5B8B677E" w14:textId="77777777" w:rsidR="00A22C5F" w:rsidRPr="00765453" w:rsidRDefault="00A22C5F" w:rsidP="00A22C5F">
      <w:pPr>
        <w:spacing w:after="0" w:line="240" w:lineRule="auto"/>
        <w:rPr>
          <w:rFonts w:ascii="Calibri" w:hAnsi="Calibri" w:cs="Calibri"/>
        </w:rPr>
      </w:pPr>
    </w:p>
    <w:p w14:paraId="0E0E32E7" w14:textId="77777777" w:rsidR="00A22C5F" w:rsidRPr="00765453" w:rsidRDefault="00A22C5F" w:rsidP="00A22C5F">
      <w:pPr>
        <w:spacing w:after="0" w:line="240" w:lineRule="auto"/>
        <w:rPr>
          <w:rFonts w:ascii="Calibri" w:hAnsi="Calibri" w:cs="Calibri"/>
        </w:rPr>
      </w:pPr>
    </w:p>
    <w:p w14:paraId="51C3917F" w14:textId="77777777" w:rsidR="00A22C5F" w:rsidRPr="00765453" w:rsidRDefault="00A22C5F" w:rsidP="00A22C5F">
      <w:pPr>
        <w:spacing w:after="0" w:line="240" w:lineRule="auto"/>
        <w:rPr>
          <w:rFonts w:ascii="Calibri" w:hAnsi="Calibri" w:cs="Calibri"/>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w:t>
      </w:r>
    </w:p>
    <w:p w14:paraId="59F293F7" w14:textId="743DE0C4" w:rsidR="002B5EBC" w:rsidRPr="002B5EBC" w:rsidRDefault="00A22C5F" w:rsidP="009A2CD4">
      <w:pPr>
        <w:spacing w:after="0" w:line="240" w:lineRule="auto"/>
        <w:rPr>
          <w:rFonts w:ascii="Century Gothic" w:hAnsi="Century Gothic"/>
          <w:sz w:val="18"/>
          <w:szCs w:val="18"/>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 xml:space="preserve">   </w:t>
      </w:r>
      <w:r w:rsidRPr="00765453">
        <w:rPr>
          <w:rFonts w:ascii="Calibri" w:hAnsi="Calibri" w:cs="Calibri"/>
          <w:i/>
          <w:iCs/>
          <w:color w:val="7F7F7F"/>
        </w:rPr>
        <w:t>podpis a pečiatka predávajúceho</w:t>
      </w:r>
    </w:p>
    <w:p w14:paraId="4A234C5D" w14:textId="77777777" w:rsidR="00112DE3" w:rsidRPr="002B5EBC" w:rsidRDefault="00112DE3" w:rsidP="002B5EBC">
      <w:pPr>
        <w:spacing w:after="0" w:line="276" w:lineRule="auto"/>
        <w:contextualSpacing/>
        <w:rPr>
          <w:rFonts w:ascii="Century Gothic" w:hAnsi="Century Gothic"/>
          <w:sz w:val="18"/>
          <w:szCs w:val="18"/>
        </w:rPr>
      </w:pPr>
    </w:p>
    <w:sectPr w:rsidR="00112DE3" w:rsidRPr="002B5EBC" w:rsidSect="00F3249B">
      <w:headerReference w:type="default" r:id="rId9"/>
      <w:footerReference w:type="default" r:id="rId10"/>
      <w:pgSz w:w="11906" w:h="16838" w:code="9"/>
      <w:pgMar w:top="1417" w:right="1417" w:bottom="1134" w:left="1417" w:header="709"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DB329" w14:textId="77777777" w:rsidR="00C17FBD" w:rsidRDefault="00C17FBD" w:rsidP="00F8140B">
      <w:pPr>
        <w:spacing w:after="0" w:line="240" w:lineRule="auto"/>
      </w:pPr>
      <w:r>
        <w:separator/>
      </w:r>
    </w:p>
  </w:endnote>
  <w:endnote w:type="continuationSeparator" w:id="0">
    <w:p w14:paraId="5BD6B0F7" w14:textId="77777777" w:rsidR="00C17FBD" w:rsidRDefault="00C17FBD"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rlow">
    <w:altName w:val="Times New Roman"/>
    <w:charset w:val="EE"/>
    <w:family w:val="auto"/>
    <w:pitch w:val="variable"/>
    <w:sig w:usb0="20000007"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Bold">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DC67CE"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D4143D">
          <w:rPr>
            <w:rFonts w:ascii="Century Gothic" w:hAnsi="Century Gothic"/>
            <w:noProof/>
            <w:sz w:val="16"/>
            <w:szCs w:val="16"/>
          </w:rPr>
          <w:t>1</w:t>
        </w:r>
        <w:r w:rsidRPr="00F8140B">
          <w:rPr>
            <w:rFonts w:ascii="Century Gothic" w:hAnsi="Century Gothic"/>
            <w:sz w:val="16"/>
            <w:szCs w:val="16"/>
          </w:rPr>
          <w:fldChar w:fldCharType="end"/>
        </w:r>
      </w:p>
    </w:sdtContent>
  </w:sdt>
  <w:p w14:paraId="627BE02A" w14:textId="77777777" w:rsidR="00DC67CE" w:rsidRPr="00F8140B" w:rsidRDefault="00D4143D">
    <w:pPr>
      <w:pStyle w:val="Pta"/>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AC436" w14:textId="77777777" w:rsidR="00C17FBD" w:rsidRDefault="00C17FBD" w:rsidP="00F8140B">
      <w:pPr>
        <w:spacing w:after="0" w:line="240" w:lineRule="auto"/>
      </w:pPr>
      <w:r>
        <w:separator/>
      </w:r>
    </w:p>
  </w:footnote>
  <w:footnote w:type="continuationSeparator" w:id="0">
    <w:p w14:paraId="61C73E3E" w14:textId="77777777" w:rsidR="00C17FBD" w:rsidRDefault="00C17FBD" w:rsidP="00F8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217FE" w14:textId="77777777" w:rsidR="00DC67CE" w:rsidRDefault="00D4143D" w:rsidP="005C17A3">
    <w:pPr>
      <w:pStyle w:val="Hlavik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BC"/>
    <w:rsid w:val="000B2B09"/>
    <w:rsid w:val="00112DE3"/>
    <w:rsid w:val="0014525E"/>
    <w:rsid w:val="001856C7"/>
    <w:rsid w:val="001E5E9B"/>
    <w:rsid w:val="002B5EBC"/>
    <w:rsid w:val="00331EDB"/>
    <w:rsid w:val="00350DA1"/>
    <w:rsid w:val="003F5988"/>
    <w:rsid w:val="003F7FAD"/>
    <w:rsid w:val="00534BA7"/>
    <w:rsid w:val="005572A2"/>
    <w:rsid w:val="005A1A22"/>
    <w:rsid w:val="005D48E7"/>
    <w:rsid w:val="00672C18"/>
    <w:rsid w:val="0068677C"/>
    <w:rsid w:val="00705C49"/>
    <w:rsid w:val="00787938"/>
    <w:rsid w:val="00897FBA"/>
    <w:rsid w:val="008D6CCE"/>
    <w:rsid w:val="0090274E"/>
    <w:rsid w:val="009A2CD4"/>
    <w:rsid w:val="00A22C5F"/>
    <w:rsid w:val="00B30427"/>
    <w:rsid w:val="00C17FBD"/>
    <w:rsid w:val="00CC679B"/>
    <w:rsid w:val="00D4143D"/>
    <w:rsid w:val="00D555F0"/>
    <w:rsid w:val="00E542A0"/>
    <w:rsid w:val="00E54D1D"/>
    <w:rsid w:val="00F3249B"/>
    <w:rsid w:val="00F3250C"/>
    <w:rsid w:val="00F8140B"/>
    <w:rsid w:val="00FB2C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689CE-CFE1-4573-B1A8-BA113E3F1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4069</Words>
  <Characters>23196</Characters>
  <Application>Microsoft Office Word</Application>
  <DocSecurity>0</DocSecurity>
  <Lines>193</Lines>
  <Paragraphs>54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Skol2</cp:lastModifiedBy>
  <cp:revision>6</cp:revision>
  <dcterms:created xsi:type="dcterms:W3CDTF">2023-11-20T12:18:00Z</dcterms:created>
  <dcterms:modified xsi:type="dcterms:W3CDTF">2023-12-19T15:06:00Z</dcterms:modified>
</cp:coreProperties>
</file>