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2CF2B36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</w:t>
      </w:r>
      <w:r w:rsidR="00BD5DBF">
        <w:rPr>
          <w:rFonts w:ascii="Garamond" w:eastAsia="Arial Narrow" w:hAnsi="Garamond" w:cs="Arial Narrow"/>
          <w:sz w:val="22"/>
          <w:szCs w:val="22"/>
        </w:rPr>
        <w:t> </w:t>
      </w:r>
      <w:r w:rsidRPr="00E62E77">
        <w:rPr>
          <w:rFonts w:ascii="Garamond" w:eastAsia="Arial Narrow" w:hAnsi="Garamond" w:cs="Arial Narrow"/>
          <w:sz w:val="22"/>
          <w:szCs w:val="22"/>
        </w:rPr>
        <w:t>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>uplatnenia určených v</w:t>
      </w:r>
      <w:r w:rsidR="00BD5DBF">
        <w:rPr>
          <w:rFonts w:ascii="Garamond" w:eastAsia="Arial Narrow" w:hAnsi="Garamond" w:cs="Arial Narrow"/>
          <w:color w:val="000000" w:themeColor="text1"/>
          <w:sz w:val="22"/>
          <w:szCs w:val="22"/>
        </w:rPr>
        <w:t> </w:t>
      </w:r>
      <w:bookmarkStart w:id="1" w:name="_GoBack"/>
      <w:bookmarkEnd w:id="1"/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2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2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1082A0B8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>.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C0E0B" w14:textId="77777777" w:rsidR="000F7988" w:rsidRDefault="000F7988" w:rsidP="008023A2">
      <w:r>
        <w:separator/>
      </w:r>
    </w:p>
  </w:endnote>
  <w:endnote w:type="continuationSeparator" w:id="0">
    <w:p w14:paraId="377F247D" w14:textId="77777777" w:rsidR="000F7988" w:rsidRDefault="000F7988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8F5B" w14:textId="77777777" w:rsidR="000F7988" w:rsidRDefault="000F7988" w:rsidP="008023A2">
      <w:r>
        <w:separator/>
      </w:r>
    </w:p>
  </w:footnote>
  <w:footnote w:type="continuationSeparator" w:id="0">
    <w:p w14:paraId="29B34D5F" w14:textId="77777777" w:rsidR="000F7988" w:rsidRDefault="000F7988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0F7988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BD5DBF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E4B5-321F-4607-8E6A-2A75F89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Pokojný</cp:lastModifiedBy>
  <cp:revision>7</cp:revision>
  <dcterms:created xsi:type="dcterms:W3CDTF">2020-11-24T11:24:00Z</dcterms:created>
  <dcterms:modified xsi:type="dcterms:W3CDTF">2023-12-06T20:41:00Z</dcterms:modified>
</cp:coreProperties>
</file>