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FE" w:rsidRPr="00DD7D0F" w:rsidRDefault="005717FE" w:rsidP="005717FE">
      <w:pPr>
        <w:pStyle w:val="Bezriadkovania"/>
        <w:rPr>
          <w:rFonts w:ascii="Aptos" w:hAnsi="Aptos"/>
          <w:lang w:val="sk-SK"/>
        </w:rPr>
      </w:pPr>
      <w:r w:rsidRPr="00DD7D0F">
        <w:rPr>
          <w:rFonts w:ascii="Aptos" w:hAnsi="Aptos"/>
          <w:lang w:val="sk-SK"/>
        </w:rPr>
        <w:t xml:space="preserve">Obstarávateľ vykonal úpravu súťažných podkladov v prílohe č. </w:t>
      </w:r>
      <w:r w:rsidR="003C446F" w:rsidRPr="00DD7D0F">
        <w:rPr>
          <w:rFonts w:ascii="Aptos" w:hAnsi="Aptos"/>
          <w:lang w:val="sk-SK"/>
        </w:rPr>
        <w:t xml:space="preserve">2 SP </w:t>
      </w:r>
      <w:r w:rsidR="00DD7D0F" w:rsidRPr="00DD7D0F">
        <w:rPr>
          <w:rFonts w:ascii="Aptos" w:hAnsi="Aptos"/>
          <w:lang w:val="sk-SK"/>
        </w:rPr>
        <w:t xml:space="preserve">Kúpna zmluva </w:t>
      </w:r>
      <w:r w:rsidR="003C446F" w:rsidRPr="00DD7D0F">
        <w:rPr>
          <w:rFonts w:ascii="Aptos" w:hAnsi="Aptos"/>
          <w:lang w:val="sk-SK"/>
        </w:rPr>
        <w:t>nasledovne:</w:t>
      </w:r>
    </w:p>
    <w:p w:rsidR="003C446F" w:rsidRPr="00DD7D0F" w:rsidRDefault="003C446F" w:rsidP="005717FE">
      <w:pPr>
        <w:pStyle w:val="Bezriadkovania"/>
        <w:rPr>
          <w:rFonts w:ascii="Aptos" w:hAnsi="Aptos"/>
          <w:lang w:val="sk-SK"/>
        </w:rPr>
      </w:pPr>
    </w:p>
    <w:p w:rsidR="003C446F" w:rsidRPr="00DD7D0F" w:rsidRDefault="003C446F" w:rsidP="005717FE">
      <w:pPr>
        <w:pStyle w:val="Bezriadkovania"/>
        <w:rPr>
          <w:rFonts w:ascii="Aptos" w:hAnsi="Aptos"/>
          <w:i/>
          <w:lang w:val="sk-SK"/>
        </w:rPr>
      </w:pPr>
      <w:r w:rsidRPr="00DD7D0F">
        <w:rPr>
          <w:rFonts w:ascii="Aptos" w:hAnsi="Aptos"/>
          <w:i/>
          <w:lang w:val="sk-SK"/>
        </w:rPr>
        <w:t>Pôvodné znenie:</w:t>
      </w:r>
    </w:p>
    <w:p w:rsidR="005717FE" w:rsidRPr="00FA764B" w:rsidRDefault="005717FE" w:rsidP="005717FE">
      <w:pPr>
        <w:widowControl/>
        <w:autoSpaceDE/>
        <w:autoSpaceDN/>
        <w:jc w:val="center"/>
        <w:rPr>
          <w:rFonts w:cs="Times New Roman"/>
          <w:b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b/>
          <w:color w:val="808080" w:themeColor="background1" w:themeShade="80"/>
          <w:sz w:val="20"/>
          <w:lang w:val="sk-SK"/>
        </w:rPr>
        <w:t>Článok IV.</w:t>
      </w:r>
      <w:bookmarkStart w:id="0" w:name="_GoBack"/>
      <w:bookmarkEnd w:id="0"/>
    </w:p>
    <w:p w:rsidR="005717FE" w:rsidRPr="00FA764B" w:rsidRDefault="005717FE" w:rsidP="005717FE">
      <w:pPr>
        <w:widowControl/>
        <w:autoSpaceDE/>
        <w:autoSpaceDN/>
        <w:jc w:val="center"/>
        <w:rPr>
          <w:rFonts w:cs="Times New Roman"/>
          <w:b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b/>
          <w:color w:val="808080" w:themeColor="background1" w:themeShade="80"/>
          <w:sz w:val="20"/>
          <w:lang w:val="sk-SK"/>
        </w:rPr>
        <w:t>Kúpna cena a platobné podmienky</w:t>
      </w:r>
    </w:p>
    <w:p w:rsidR="005717FE" w:rsidRPr="00FA764B" w:rsidRDefault="005717FE" w:rsidP="005717FE">
      <w:pPr>
        <w:widowControl/>
        <w:autoSpaceDE/>
        <w:autoSpaceDN/>
        <w:jc w:val="center"/>
        <w:rPr>
          <w:rFonts w:cs="Times New Roman"/>
          <w:b/>
          <w:color w:val="808080" w:themeColor="background1" w:themeShade="80"/>
          <w:sz w:val="20"/>
          <w:lang w:val="sk-SK"/>
        </w:rPr>
      </w:pPr>
    </w:p>
    <w:p w:rsidR="005717FE" w:rsidRPr="00FA764B" w:rsidRDefault="005717FE" w:rsidP="005717FE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cs="Times New Roman"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color w:val="808080" w:themeColor="background1" w:themeShade="80"/>
          <w:sz w:val="20"/>
          <w:lang w:val="sk-SK"/>
        </w:rPr>
        <w:t>Kúpna cena tovaru podľa prílohy č. 1 činí:</w:t>
      </w:r>
    </w:p>
    <w:p w:rsidR="005717FE" w:rsidRPr="00FA764B" w:rsidRDefault="005717FE" w:rsidP="005717FE">
      <w:pPr>
        <w:widowControl/>
        <w:autoSpaceDE/>
        <w:autoSpaceDN/>
        <w:spacing w:line="360" w:lineRule="auto"/>
        <w:ind w:left="708"/>
        <w:contextualSpacing/>
        <w:jc w:val="both"/>
        <w:rPr>
          <w:rFonts w:cs="Times New Roman"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color w:val="808080" w:themeColor="background1" w:themeShade="80"/>
          <w:sz w:val="20"/>
          <w:lang w:val="sk-SK"/>
        </w:rPr>
        <w:t>Cena bez DPH:</w:t>
      </w:r>
      <w:r w:rsidRPr="00FA764B">
        <w:rPr>
          <w:rFonts w:cs="Times New Roman"/>
          <w:color w:val="808080" w:themeColor="background1" w:themeShade="80"/>
          <w:sz w:val="20"/>
          <w:lang w:val="sk-SK"/>
        </w:rPr>
        <w:tab/>
      </w:r>
      <w:r w:rsidRPr="00FA764B">
        <w:rPr>
          <w:rFonts w:cs="Times New Roman"/>
          <w:color w:val="808080" w:themeColor="background1" w:themeShade="80"/>
          <w:sz w:val="20"/>
          <w:lang w:val="sk-SK"/>
        </w:rPr>
        <w:tab/>
      </w:r>
      <w:r w:rsidRPr="00FA764B">
        <w:rPr>
          <w:rFonts w:cs="Times New Roman"/>
          <w:color w:val="808080" w:themeColor="background1" w:themeShade="80"/>
          <w:sz w:val="20"/>
          <w:lang w:val="sk-SK"/>
        </w:rPr>
        <w:tab/>
      </w:r>
      <w:r w:rsidRPr="00FA764B">
        <w:rPr>
          <w:rFonts w:cs="Times New Roman"/>
          <w:color w:val="808080" w:themeColor="background1" w:themeShade="80"/>
          <w:sz w:val="20"/>
          <w:lang w:val="sk-SK"/>
        </w:rPr>
        <w:tab/>
      </w:r>
      <w:r w:rsidRPr="00FA764B">
        <w:rPr>
          <w:rFonts w:cs="Times New Roman"/>
          <w:color w:val="808080" w:themeColor="background1" w:themeShade="80"/>
          <w:sz w:val="20"/>
          <w:highlight w:val="lightGray"/>
          <w:lang w:val="sk-SK"/>
        </w:rPr>
        <w:t>......................</w:t>
      </w:r>
      <w:r w:rsidRPr="00FA764B">
        <w:rPr>
          <w:rFonts w:cs="Times New Roman"/>
          <w:color w:val="808080" w:themeColor="background1" w:themeShade="80"/>
          <w:sz w:val="20"/>
          <w:lang w:val="sk-SK"/>
        </w:rPr>
        <w:t xml:space="preserve"> Eur</w:t>
      </w:r>
    </w:p>
    <w:p w:rsidR="005717FE" w:rsidRPr="00FA764B" w:rsidRDefault="005717FE" w:rsidP="005717FE">
      <w:pPr>
        <w:widowControl/>
        <w:autoSpaceDE/>
        <w:autoSpaceDN/>
        <w:spacing w:line="360" w:lineRule="auto"/>
        <w:ind w:left="708"/>
        <w:contextualSpacing/>
        <w:jc w:val="both"/>
        <w:rPr>
          <w:rFonts w:cs="Times New Roman"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color w:val="808080" w:themeColor="background1" w:themeShade="80"/>
          <w:sz w:val="20"/>
          <w:lang w:val="sk-SK"/>
        </w:rPr>
        <w:t xml:space="preserve"> (Slovom: </w:t>
      </w:r>
      <w:r w:rsidRPr="00FA764B">
        <w:rPr>
          <w:rFonts w:cs="Times New Roman"/>
          <w:color w:val="808080" w:themeColor="background1" w:themeShade="80"/>
          <w:sz w:val="20"/>
          <w:highlight w:val="lightGray"/>
          <w:lang w:val="sk-SK"/>
        </w:rPr>
        <w:t>.......................................................................</w:t>
      </w:r>
      <w:r w:rsidRPr="00FA764B">
        <w:rPr>
          <w:rFonts w:cs="Times New Roman"/>
          <w:color w:val="808080" w:themeColor="background1" w:themeShade="80"/>
          <w:sz w:val="20"/>
          <w:lang w:val="sk-SK"/>
        </w:rPr>
        <w:t xml:space="preserve"> Eur</w:t>
      </w:r>
    </w:p>
    <w:p w:rsidR="005717FE" w:rsidRPr="00FA764B" w:rsidRDefault="005717FE" w:rsidP="005717FE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cs="Times New Roman"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color w:val="808080" w:themeColor="background1" w:themeShade="80"/>
          <w:sz w:val="20"/>
          <w:lang w:val="sk-SK"/>
        </w:rPr>
        <w:t>Cena podľa bodu 1 tohto článku je konečná a nemenná a predávajúci prehlasuje, že zahŕňa všetky jeho náklady spojené s dodaním tovaru a uvedením tovaru do riadnej prevádzky a zaškolením obsluhy.</w:t>
      </w:r>
    </w:p>
    <w:p w:rsidR="005717FE" w:rsidRPr="00FA764B" w:rsidRDefault="005717FE" w:rsidP="005717FE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cs="Times New Roman"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color w:val="808080" w:themeColor="background1" w:themeShade="80"/>
          <w:sz w:val="20"/>
          <w:lang w:val="sk-SK"/>
        </w:rPr>
        <w:t>Kúpna cena bude uhradená na základe faktúry predávajúceho.</w:t>
      </w:r>
    </w:p>
    <w:p w:rsidR="005717FE" w:rsidRPr="00FA764B" w:rsidRDefault="005717FE" w:rsidP="005717FE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cs="Times New Roman"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color w:val="808080" w:themeColor="background1" w:themeShade="80"/>
          <w:sz w:val="20"/>
          <w:lang w:val="sk-SK"/>
        </w:rPr>
        <w:t>Splatnosť faktúry/faktúr bude 30 kalendárnych dní odo dňa doručenia faktúry na adresu sídla Kupujúceho.</w:t>
      </w:r>
    </w:p>
    <w:p w:rsidR="005717FE" w:rsidRPr="00FA764B" w:rsidRDefault="005717FE" w:rsidP="005717FE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cs="Times New Roman"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color w:val="808080" w:themeColor="background1" w:themeShade="80"/>
          <w:sz w:val="20"/>
          <w:lang w:val="sk-SK"/>
        </w:rPr>
        <w:t>Faktúru predávajúci vystaví po dodaní predmetu zmluvy (</w:t>
      </w:r>
      <w:proofErr w:type="spellStart"/>
      <w:r w:rsidRPr="00FA764B">
        <w:rPr>
          <w:rFonts w:cs="Times New Roman"/>
          <w:color w:val="808080" w:themeColor="background1" w:themeShade="80"/>
          <w:sz w:val="20"/>
          <w:lang w:val="sk-SK"/>
        </w:rPr>
        <w:t>t.j</w:t>
      </w:r>
      <w:proofErr w:type="spellEnd"/>
      <w:r w:rsidRPr="00FA764B">
        <w:rPr>
          <w:rFonts w:cs="Times New Roman"/>
          <w:color w:val="808080" w:themeColor="background1" w:themeShade="80"/>
          <w:sz w:val="20"/>
          <w:lang w:val="sk-SK"/>
        </w:rPr>
        <w:t>. po dodaní tovaru spolu s dokladmi na tovar sa vzťahujúcimi, uvedenia do riadnej prevádzky a zaškolení obsluhy), pričom tovar sa považuje za dodaný jeho riadnym uvedením do prevádzky, zaškolením obsluhy a tiež podpísaním preberacieho protokolu zmluvnými stranami.</w:t>
      </w:r>
    </w:p>
    <w:p w:rsidR="005717FE" w:rsidRPr="00FA764B" w:rsidRDefault="005717FE" w:rsidP="005717FE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cs="Times New Roman"/>
          <w:color w:val="808080" w:themeColor="background1" w:themeShade="80"/>
          <w:sz w:val="20"/>
          <w:lang w:val="sk-SK"/>
        </w:rPr>
      </w:pPr>
      <w:r w:rsidRPr="00FA764B">
        <w:rPr>
          <w:rFonts w:cs="Times New Roman"/>
          <w:color w:val="808080" w:themeColor="background1" w:themeShade="80"/>
          <w:sz w:val="20"/>
          <w:lang w:val="sk-SK"/>
        </w:rPr>
        <w:t>Ak faktúra neobsahuje všetky náležitosti daňového dokladu v súlade so zákonom 222/2004 Z. z. o dani z pridanej hodnoty v znení neskorších predpisov, je kupujúci oprávnený faktúru predávajúcemu vrátiť. V takomto prípade lehota spratnosti začne plynúť od doručenia právne vystavenej faktúry kupujúcemu.</w:t>
      </w:r>
    </w:p>
    <w:p w:rsidR="005607C3" w:rsidRPr="00DD7D0F" w:rsidRDefault="00FA764B"/>
    <w:p w:rsidR="005717FE" w:rsidRPr="00DD7D0F" w:rsidRDefault="005717FE"/>
    <w:p w:rsidR="003C446F" w:rsidRPr="00907265" w:rsidRDefault="003C446F" w:rsidP="009D2077">
      <w:pPr>
        <w:pStyle w:val="Bezriadkovania"/>
        <w:rPr>
          <w:rFonts w:ascii="Aptos" w:hAnsi="Aptos"/>
          <w:i/>
          <w:sz w:val="24"/>
          <w:u w:val="single"/>
          <w:lang w:val="sk-SK"/>
        </w:rPr>
      </w:pPr>
      <w:r w:rsidRPr="00907265">
        <w:rPr>
          <w:rFonts w:ascii="Aptos" w:hAnsi="Aptos"/>
          <w:i/>
          <w:sz w:val="24"/>
          <w:u w:val="single"/>
          <w:lang w:val="sk-SK"/>
        </w:rPr>
        <w:t>Upravené znenie</w:t>
      </w:r>
      <w:r w:rsidR="009D2077" w:rsidRPr="00907265">
        <w:rPr>
          <w:rFonts w:ascii="Aptos" w:hAnsi="Aptos"/>
          <w:i/>
          <w:sz w:val="24"/>
          <w:u w:val="single"/>
          <w:lang w:val="sk-SK"/>
        </w:rPr>
        <w:t>:</w:t>
      </w:r>
    </w:p>
    <w:p w:rsidR="005717FE" w:rsidRPr="00DD7D0F" w:rsidRDefault="005717FE"/>
    <w:p w:rsidR="005717FE" w:rsidRPr="00DD7D0F" w:rsidRDefault="005717FE" w:rsidP="005717FE">
      <w:pPr>
        <w:widowControl/>
        <w:autoSpaceDE/>
        <w:autoSpaceDN/>
        <w:jc w:val="center"/>
        <w:rPr>
          <w:rFonts w:cs="Times New Roman"/>
          <w:b/>
          <w:lang w:val="sk-SK"/>
        </w:rPr>
      </w:pPr>
      <w:r w:rsidRPr="00DD7D0F">
        <w:rPr>
          <w:rFonts w:cs="Times New Roman"/>
          <w:b/>
          <w:lang w:val="sk-SK"/>
        </w:rPr>
        <w:t>Článok IV.</w:t>
      </w:r>
    </w:p>
    <w:p w:rsidR="005717FE" w:rsidRPr="00DD7D0F" w:rsidRDefault="005717FE" w:rsidP="005717FE">
      <w:pPr>
        <w:widowControl/>
        <w:autoSpaceDE/>
        <w:autoSpaceDN/>
        <w:jc w:val="center"/>
        <w:rPr>
          <w:rFonts w:cs="Times New Roman"/>
          <w:b/>
          <w:lang w:val="sk-SK"/>
        </w:rPr>
      </w:pPr>
      <w:r w:rsidRPr="00DD7D0F">
        <w:rPr>
          <w:rFonts w:cs="Times New Roman"/>
          <w:b/>
          <w:lang w:val="sk-SK"/>
        </w:rPr>
        <w:t>Kúpna cena a platobné podmienky</w:t>
      </w:r>
    </w:p>
    <w:p w:rsidR="005717FE" w:rsidRPr="00DD7D0F" w:rsidRDefault="005717FE" w:rsidP="005717FE">
      <w:pPr>
        <w:widowControl/>
        <w:autoSpaceDE/>
        <w:autoSpaceDN/>
        <w:jc w:val="center"/>
        <w:rPr>
          <w:rFonts w:cs="Times New Roman"/>
          <w:b/>
          <w:lang w:val="sk-SK"/>
        </w:rPr>
      </w:pPr>
    </w:p>
    <w:p w:rsidR="005717FE" w:rsidRPr="00DD7D0F" w:rsidRDefault="005717FE" w:rsidP="009D207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="Times New Roman"/>
          <w:lang w:val="sk-SK"/>
        </w:rPr>
      </w:pPr>
      <w:r w:rsidRPr="00DD7D0F">
        <w:rPr>
          <w:rFonts w:cs="Times New Roman"/>
          <w:lang w:val="sk-SK"/>
        </w:rPr>
        <w:t>Kúpna cena tovaru podľa prílohy č. 1 činí:</w:t>
      </w:r>
    </w:p>
    <w:p w:rsidR="005717FE" w:rsidRPr="00DD7D0F" w:rsidRDefault="005717FE" w:rsidP="005717FE">
      <w:pPr>
        <w:widowControl/>
        <w:autoSpaceDE/>
        <w:autoSpaceDN/>
        <w:spacing w:line="360" w:lineRule="auto"/>
        <w:ind w:left="708"/>
        <w:contextualSpacing/>
        <w:jc w:val="both"/>
        <w:rPr>
          <w:rFonts w:cs="Times New Roman"/>
          <w:lang w:val="sk-SK"/>
        </w:rPr>
      </w:pPr>
      <w:r w:rsidRPr="00DD7D0F">
        <w:rPr>
          <w:rFonts w:cs="Times New Roman"/>
          <w:lang w:val="sk-SK"/>
        </w:rPr>
        <w:t>Cena bez DPH:</w:t>
      </w:r>
      <w:r w:rsidRPr="00DD7D0F">
        <w:rPr>
          <w:rFonts w:cs="Times New Roman"/>
          <w:lang w:val="sk-SK"/>
        </w:rPr>
        <w:tab/>
      </w:r>
      <w:r w:rsidRPr="00DD7D0F">
        <w:rPr>
          <w:rFonts w:cs="Times New Roman"/>
          <w:lang w:val="sk-SK"/>
        </w:rPr>
        <w:tab/>
      </w:r>
      <w:r w:rsidRPr="00DD7D0F">
        <w:rPr>
          <w:rFonts w:cs="Times New Roman"/>
          <w:lang w:val="sk-SK"/>
        </w:rPr>
        <w:tab/>
      </w:r>
      <w:r w:rsidRPr="00DD7D0F">
        <w:rPr>
          <w:rFonts w:cs="Times New Roman"/>
          <w:lang w:val="sk-SK"/>
        </w:rPr>
        <w:tab/>
      </w:r>
      <w:r w:rsidRPr="00DD7D0F">
        <w:rPr>
          <w:rFonts w:cs="Times New Roman"/>
          <w:highlight w:val="lightGray"/>
          <w:lang w:val="sk-SK"/>
        </w:rPr>
        <w:t>......................</w:t>
      </w:r>
      <w:r w:rsidRPr="00DD7D0F">
        <w:rPr>
          <w:rFonts w:cs="Times New Roman"/>
          <w:lang w:val="sk-SK"/>
        </w:rPr>
        <w:t xml:space="preserve"> Eur</w:t>
      </w:r>
    </w:p>
    <w:p w:rsidR="005717FE" w:rsidRPr="00DD7D0F" w:rsidRDefault="005717FE" w:rsidP="005717FE">
      <w:pPr>
        <w:widowControl/>
        <w:autoSpaceDE/>
        <w:autoSpaceDN/>
        <w:spacing w:line="360" w:lineRule="auto"/>
        <w:ind w:left="708"/>
        <w:contextualSpacing/>
        <w:jc w:val="both"/>
        <w:rPr>
          <w:rFonts w:cs="Times New Roman"/>
          <w:lang w:val="sk-SK"/>
        </w:rPr>
      </w:pPr>
      <w:r w:rsidRPr="00DD7D0F">
        <w:rPr>
          <w:rFonts w:cs="Times New Roman"/>
          <w:lang w:val="sk-SK"/>
        </w:rPr>
        <w:t xml:space="preserve"> (Slovom: </w:t>
      </w:r>
      <w:r w:rsidRPr="00DD7D0F">
        <w:rPr>
          <w:rFonts w:cs="Times New Roman"/>
          <w:highlight w:val="lightGray"/>
          <w:lang w:val="sk-SK"/>
        </w:rPr>
        <w:t>.......................................................................</w:t>
      </w:r>
      <w:r w:rsidRPr="00DD7D0F">
        <w:rPr>
          <w:rFonts w:cs="Times New Roman"/>
          <w:lang w:val="sk-SK"/>
        </w:rPr>
        <w:t xml:space="preserve"> Eur</w:t>
      </w:r>
    </w:p>
    <w:p w:rsidR="005717FE" w:rsidRPr="00DD7D0F" w:rsidRDefault="005717FE" w:rsidP="009D207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="Times New Roman"/>
          <w:lang w:val="sk-SK"/>
        </w:rPr>
      </w:pPr>
      <w:r w:rsidRPr="00DD7D0F">
        <w:rPr>
          <w:rFonts w:cs="Times New Roman"/>
          <w:lang w:val="sk-SK"/>
        </w:rPr>
        <w:t>Cena podľa bodu 1 tohto článku je konečná a nemenná a predávajúci prehlasuje, že zahŕňa všetky jeho náklady spojené s dodaním tovaru a uvedením tovaru do riadnej prevádzky a zaškolením obsluhy.</w:t>
      </w:r>
    </w:p>
    <w:p w:rsidR="000A6033" w:rsidRPr="00DD7D0F" w:rsidRDefault="000A6033" w:rsidP="009D207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="Times New Roman"/>
          <w:lang w:val="sk-SK"/>
        </w:rPr>
      </w:pPr>
      <w:r w:rsidRPr="00DD7D0F">
        <w:rPr>
          <w:rFonts w:asciiTheme="minorHAnsi" w:hAnsiTheme="minorHAnsi" w:cstheme="minorHAnsi"/>
          <w:lang w:val="sk-SK"/>
        </w:rPr>
        <w:t xml:space="preserve">Cena je splatná po prevzatí predmetu zmluvy na základe faktúry predávajúceho. Kupujúci môže predávajúcemu poskytnúť po </w:t>
      </w:r>
      <w:r w:rsidRPr="00DD7D0F">
        <w:rPr>
          <w:rFonts w:asciiTheme="minorHAnsi" w:hAnsiTheme="minorHAnsi" w:cstheme="minorHAnsi"/>
          <w:lang w:val="sk-SK"/>
        </w:rPr>
        <w:t>uzavretí</w:t>
      </w:r>
      <w:r w:rsidR="00DD7D0F" w:rsidRPr="00DD7D0F">
        <w:rPr>
          <w:rFonts w:asciiTheme="minorHAnsi" w:hAnsiTheme="minorHAnsi" w:cstheme="minorHAnsi"/>
          <w:lang w:val="sk-SK"/>
        </w:rPr>
        <w:t xml:space="preserve"> zmluvy</w:t>
      </w:r>
      <w:r w:rsidRPr="00DD7D0F">
        <w:rPr>
          <w:rFonts w:asciiTheme="minorHAnsi" w:hAnsiTheme="minorHAnsi" w:cstheme="minorHAnsi"/>
          <w:lang w:val="sk-SK"/>
        </w:rPr>
        <w:t xml:space="preserve"> zálohovú platbu maximálne do výšky </w:t>
      </w:r>
      <w:r w:rsidRPr="00DD7D0F">
        <w:rPr>
          <w:rFonts w:asciiTheme="minorHAnsi" w:hAnsiTheme="minorHAnsi" w:cstheme="minorHAnsi"/>
          <w:lang w:val="sk-SK"/>
        </w:rPr>
        <w:t>3</w:t>
      </w:r>
      <w:r w:rsidRPr="00DD7D0F">
        <w:rPr>
          <w:rFonts w:asciiTheme="minorHAnsi" w:hAnsiTheme="minorHAnsi" w:cstheme="minorHAnsi"/>
          <w:lang w:val="sk-SK"/>
        </w:rPr>
        <w:t>0% z ceny predmetu zákazky.</w:t>
      </w:r>
    </w:p>
    <w:p w:rsidR="005717FE" w:rsidRPr="00DD7D0F" w:rsidRDefault="005717FE" w:rsidP="009D207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="Times New Roman"/>
          <w:lang w:val="sk-SK"/>
        </w:rPr>
      </w:pPr>
      <w:r w:rsidRPr="00DD7D0F">
        <w:rPr>
          <w:rFonts w:cs="Times New Roman"/>
          <w:lang w:val="sk-SK"/>
        </w:rPr>
        <w:t>Faktúru predávajúci vystaví po dodaní predmetu zmluvy (</w:t>
      </w:r>
      <w:proofErr w:type="spellStart"/>
      <w:r w:rsidRPr="00DD7D0F">
        <w:rPr>
          <w:rFonts w:cs="Times New Roman"/>
          <w:lang w:val="sk-SK"/>
        </w:rPr>
        <w:t>t.j</w:t>
      </w:r>
      <w:proofErr w:type="spellEnd"/>
      <w:r w:rsidRPr="00DD7D0F">
        <w:rPr>
          <w:rFonts w:cs="Times New Roman"/>
          <w:lang w:val="sk-SK"/>
        </w:rPr>
        <w:t>. po dodaní tovaru spolu s dokladmi na tovar sa vzťahujúcimi, uvedenia do riadnej prevádzky a zaškolení obsluhy), pričom tovar sa považuje za dodaný jeho riadnym uvedením do prevádzky, zaškolením obsluhy a tiež podpísaním preberacieho protokolu zmluvnými stranami.</w:t>
      </w:r>
    </w:p>
    <w:p w:rsidR="005717FE" w:rsidRPr="00DD7D0F" w:rsidRDefault="005717FE" w:rsidP="009D207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="Times New Roman"/>
          <w:lang w:val="sk-SK"/>
        </w:rPr>
      </w:pPr>
      <w:r w:rsidRPr="00DD7D0F">
        <w:rPr>
          <w:rFonts w:cs="Times New Roman"/>
          <w:lang w:val="sk-SK"/>
        </w:rPr>
        <w:t>Ak faktúra neobsahuje všetky náležitosti daňového dokladu v súlade so zákonom 222/2004 Z. z. o dani z pridanej hodnoty v znení neskorších predpisov, je kupujúci oprávnený faktúru predávajúcemu vrátiť. V takomto prípade lehota spratnosti začne plynúť od doručenia právne vystavenej faktúry kupujúcemu.</w:t>
      </w:r>
    </w:p>
    <w:p w:rsidR="00A57AAF" w:rsidRPr="00DD7D0F" w:rsidRDefault="00A57AAF" w:rsidP="00A57AAF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cs="Times New Roman"/>
          <w:lang w:val="sk-SK"/>
        </w:rPr>
      </w:pPr>
      <w:r w:rsidRPr="00DD7D0F">
        <w:rPr>
          <w:rFonts w:cs="Times New Roman"/>
          <w:lang w:val="sk-SK"/>
        </w:rPr>
        <w:t>Splatnosť faktúry/faktúr bude 30 kalendárnych dní odo dňa doručenia faktúry na adresu sídla Kupujúceho.</w:t>
      </w:r>
    </w:p>
    <w:p w:rsidR="005717FE" w:rsidRPr="00907265" w:rsidRDefault="005717FE">
      <w:pPr>
        <w:rPr>
          <w:lang w:val="sk-SK"/>
        </w:rPr>
      </w:pPr>
    </w:p>
    <w:p w:rsidR="00A57AAF" w:rsidRPr="00907265" w:rsidRDefault="00A57AAF" w:rsidP="00907265">
      <w:pPr>
        <w:jc w:val="both"/>
        <w:rPr>
          <w:b/>
          <w:sz w:val="24"/>
          <w:lang w:val="sk-SK"/>
        </w:rPr>
      </w:pPr>
      <w:r w:rsidRPr="00907265">
        <w:rPr>
          <w:b/>
          <w:sz w:val="24"/>
          <w:lang w:val="sk-SK"/>
        </w:rPr>
        <w:t>Žiadame potencionálnych dodávateľov</w:t>
      </w:r>
      <w:r w:rsidR="00907265" w:rsidRPr="00907265">
        <w:rPr>
          <w:b/>
          <w:sz w:val="24"/>
          <w:lang w:val="sk-SK"/>
        </w:rPr>
        <w:t>, aby v ponuke použili upravené znenie Čl. IV. Kúpnej zmluvy.</w:t>
      </w:r>
    </w:p>
    <w:sectPr w:rsidR="00A57AAF" w:rsidRPr="0090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A5AB0"/>
    <w:multiLevelType w:val="hybridMultilevel"/>
    <w:tmpl w:val="966E61D2"/>
    <w:lvl w:ilvl="0" w:tplc="0FB28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6B"/>
    <w:rsid w:val="000A6033"/>
    <w:rsid w:val="001F36D9"/>
    <w:rsid w:val="003C446F"/>
    <w:rsid w:val="005717FE"/>
    <w:rsid w:val="006E4A2A"/>
    <w:rsid w:val="007E606B"/>
    <w:rsid w:val="00863C44"/>
    <w:rsid w:val="00907265"/>
    <w:rsid w:val="009D2077"/>
    <w:rsid w:val="00A57AAF"/>
    <w:rsid w:val="00DD7D0F"/>
    <w:rsid w:val="00F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0AF5"/>
  <w15:chartTrackingRefBased/>
  <w15:docId w15:val="{4DC11FF3-F6CF-4681-9BF7-7B0AB2E9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717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717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2024-02-01T15:23:00Z</dcterms:created>
  <dcterms:modified xsi:type="dcterms:W3CDTF">2024-02-01T15:39:00Z</dcterms:modified>
</cp:coreProperties>
</file>