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ascii="Calibri" w:hAnsi="Calibri"/>
          <w:b/>
          <w:bCs/>
          <w:color w:val="000000"/>
          <w:lang w:val="en-US" w:eastAsia="sk-SK"/>
        </w:rPr>
        <w:t>Fotovoltický systém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Krupine,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hint="default"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  <w:r>
        <w:rPr>
          <w:rFonts w:hint="default" w:asciiTheme="minorHAnsi" w:hAnsiTheme="minorHAnsi" w:cstheme="minorHAnsi"/>
          <w:bCs/>
          <w:sz w:val="22"/>
          <w:szCs w:val="22"/>
          <w:lang w:val="sk-SK"/>
        </w:rPr>
        <w:t>Limas s.r.o.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Stanislav Lihocký, konateľ spoločnosti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27F264F3"/>
    <w:rsid w:val="29D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2</TotalTime>
  <ScaleCrop>false</ScaleCrop>
  <LinksUpToDate>false</LinksUpToDate>
  <CharactersWithSpaces>724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2024-01-25T21:50:11Z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4C02E42520104AF9AF594D4760259169_12</vt:lpwstr>
  </property>
</Properties>
</file>