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056CD8">
        <w:rPr>
          <w:rFonts w:ascii="Arial" w:hAnsi="Arial" w:cs="Arial"/>
          <w:b/>
          <w:sz w:val="28"/>
          <w:szCs w:val="28"/>
        </w:rPr>
        <w:t xml:space="preserve">č. </w:t>
      </w:r>
      <w:r w:rsidR="004C510D" w:rsidRPr="00056CD8">
        <w:rPr>
          <w:rFonts w:ascii="Arial" w:hAnsi="Arial" w:cs="Arial"/>
          <w:b/>
          <w:sz w:val="28"/>
          <w:szCs w:val="28"/>
        </w:rPr>
        <w:t>................</w:t>
      </w:r>
    </w:p>
    <w:p w:rsidR="00B80924" w:rsidRPr="0052008E" w:rsidRDefault="0052008E" w:rsidP="00B80924">
      <w:pPr>
        <w:jc w:val="center"/>
        <w:rPr>
          <w:rFonts w:ascii="Arial" w:hAnsi="Arial" w:cs="Arial"/>
          <w:i/>
          <w:sz w:val="28"/>
        </w:rPr>
      </w:pPr>
      <w:r w:rsidRPr="0052008E">
        <w:rPr>
          <w:rFonts w:ascii="Arial" w:hAnsi="Arial" w:cs="Arial"/>
          <w:i/>
          <w:sz w:val="28"/>
          <w:highlight w:val="yellow"/>
        </w:rPr>
        <w:t>Uchádzač doplní žltým zvýraznené</w:t>
      </w: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056CD8">
              <w:rPr>
                <w:rFonts w:ascii="Arial" w:hAnsi="Arial" w:cs="Arial"/>
              </w:rPr>
              <w:t>Považie</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6B088A" w:rsidP="00F3754F">
            <w:pPr>
              <w:spacing w:line="360" w:lineRule="auto"/>
              <w:jc w:val="both"/>
              <w:rPr>
                <w:rFonts w:ascii="Arial" w:hAnsi="Arial" w:cs="Arial"/>
              </w:rPr>
            </w:pPr>
            <w:r>
              <w:rPr>
                <w:rFonts w:ascii="Arial" w:hAnsi="Arial" w:cs="Arial"/>
              </w:rPr>
              <w:t>Hodžova 38, 911 01</w:t>
            </w:r>
            <w:r w:rsidR="00056CD8">
              <w:rPr>
                <w:rFonts w:ascii="Arial" w:hAnsi="Arial" w:cs="Arial"/>
              </w:rPr>
              <w:t xml:space="preserve"> Trenčín</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056CD8" w:rsidP="00AF7936">
            <w:pPr>
              <w:spacing w:line="360" w:lineRule="auto"/>
              <w:jc w:val="both"/>
              <w:rPr>
                <w:rFonts w:ascii="Arial" w:hAnsi="Arial" w:cs="Arial"/>
              </w:rPr>
            </w:pPr>
            <w:r>
              <w:rPr>
                <w:rFonts w:ascii="Arial" w:hAnsi="Arial" w:cs="Arial"/>
              </w:rPr>
              <w:t xml:space="preserve">Ing. Róbert Kiš - </w:t>
            </w:r>
            <w:r w:rsidR="00F3754F" w:rsidRPr="003E7912">
              <w:rPr>
                <w:rFonts w:ascii="Arial" w:hAnsi="Arial" w:cs="Arial"/>
              </w:rPr>
              <w:t>vedúci</w:t>
            </w:r>
            <w:r w:rsidR="00C53BE6" w:rsidRPr="003E7912">
              <w:rPr>
                <w:rFonts w:ascii="Arial" w:hAnsi="Arial" w:cs="Arial"/>
              </w:rPr>
              <w:t xml:space="preserve"> </w:t>
            </w:r>
            <w:r w:rsidR="00AF7936" w:rsidRPr="003E7912">
              <w:rPr>
                <w:rFonts w:ascii="Arial" w:hAnsi="Arial" w:cs="Arial"/>
              </w:rPr>
              <w:t>OZ</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9A7CB8" w:rsidRDefault="00B80924" w:rsidP="00B80924">
      <w:pPr>
        <w:jc w:val="both"/>
        <w:rPr>
          <w:rFonts w:ascii="Arial" w:hAnsi="Arial" w:cs="Arial"/>
          <w:b/>
          <w:highlight w:val="yellow"/>
        </w:rPr>
      </w:pPr>
      <w:r w:rsidRPr="009A7CB8">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Obchodné meno:</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b/>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Sídlo:</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IČO:</w:t>
            </w:r>
          </w:p>
        </w:tc>
        <w:tc>
          <w:tcPr>
            <w:tcW w:w="3932" w:type="pct"/>
            <w:tcBorders>
              <w:left w:val="nil"/>
            </w:tcBorders>
            <w:shd w:val="clear" w:color="auto" w:fill="auto"/>
          </w:tcPr>
          <w:p w:rsidR="00204CCE" w:rsidRPr="009A7CB8" w:rsidRDefault="00204CCE" w:rsidP="0072766D">
            <w:pPr>
              <w:pStyle w:val="Pta"/>
              <w:spacing w:after="0" w:line="360" w:lineRule="auto"/>
              <w:jc w:val="both"/>
              <w:rPr>
                <w:rFonts w:ascii="Arial" w:hAnsi="Arial" w:cs="Arial"/>
                <w:sz w:val="20"/>
                <w:szCs w:val="20"/>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DIČ:</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IČ DPH:</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B50061" w:rsidRPr="003E7912" w:rsidTr="00512CB2">
        <w:tc>
          <w:tcPr>
            <w:tcW w:w="1068" w:type="pct"/>
            <w:tcBorders>
              <w:top w:val="nil"/>
              <w:left w:val="nil"/>
              <w:bottom w:val="nil"/>
              <w:right w:val="nil"/>
            </w:tcBorders>
          </w:tcPr>
          <w:p w:rsidR="00B50061" w:rsidRPr="003E7912" w:rsidRDefault="00B50061" w:rsidP="00512CB2">
            <w:pPr>
              <w:spacing w:line="360" w:lineRule="auto"/>
              <w:rPr>
                <w:rFonts w:ascii="Arial" w:hAnsi="Arial" w:cs="Arial"/>
              </w:rPr>
            </w:pPr>
            <w:r w:rsidRPr="00B50061">
              <w:rPr>
                <w:rFonts w:ascii="Arial" w:hAnsi="Arial" w:cs="Arial"/>
                <w:highlight w:val="yellow"/>
              </w:rPr>
              <w:t>Číslo účtu (IBAN):</w:t>
            </w:r>
          </w:p>
        </w:tc>
        <w:tc>
          <w:tcPr>
            <w:tcW w:w="3932" w:type="pct"/>
            <w:tcBorders>
              <w:left w:val="nil"/>
            </w:tcBorders>
            <w:shd w:val="clear" w:color="auto" w:fill="auto"/>
          </w:tcPr>
          <w:p w:rsidR="00B50061" w:rsidRPr="003E7912" w:rsidRDefault="00B50061" w:rsidP="00512CB2">
            <w:pPr>
              <w:spacing w:line="360" w:lineRule="auto"/>
              <w:jc w:val="both"/>
              <w:rPr>
                <w:rFonts w:ascii="Arial" w:hAnsi="Arial" w:cs="Arial"/>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Právne zastúpený:</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9A7CB8" w:rsidTr="004C510D">
        <w:tc>
          <w:tcPr>
            <w:tcW w:w="1068" w:type="pct"/>
            <w:tcBorders>
              <w:top w:val="nil"/>
              <w:bottom w:val="nil"/>
              <w:right w:val="nil"/>
            </w:tcBorders>
            <w:shd w:val="clear" w:color="auto" w:fill="auto"/>
          </w:tcPr>
          <w:p w:rsidR="00204CCE" w:rsidRPr="009A7CB8" w:rsidRDefault="00204CCE" w:rsidP="0072766D">
            <w:pPr>
              <w:spacing w:line="360" w:lineRule="auto"/>
              <w:rPr>
                <w:rFonts w:ascii="Arial" w:hAnsi="Arial" w:cs="Arial"/>
                <w:highlight w:val="yellow"/>
              </w:rPr>
            </w:pPr>
            <w:r w:rsidRPr="009A7CB8">
              <w:rPr>
                <w:rFonts w:ascii="Arial" w:hAnsi="Arial" w:cs="Arial"/>
                <w:highlight w:val="yellow"/>
              </w:rPr>
              <w:t>Kontakt:</w:t>
            </w:r>
          </w:p>
        </w:tc>
        <w:tc>
          <w:tcPr>
            <w:tcW w:w="3932" w:type="pct"/>
            <w:tcBorders>
              <w:left w:val="nil"/>
            </w:tcBorders>
            <w:shd w:val="clear" w:color="auto" w:fill="auto"/>
          </w:tcPr>
          <w:p w:rsidR="00204CCE" w:rsidRPr="009A7CB8" w:rsidRDefault="00204CCE" w:rsidP="0072766D">
            <w:pPr>
              <w:spacing w:line="360" w:lineRule="auto"/>
              <w:jc w:val="both"/>
              <w:rPr>
                <w:rFonts w:ascii="Arial" w:hAnsi="Arial" w:cs="Arial"/>
                <w:highlight w:val="yellow"/>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9A7CB8">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F3361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w:t>
      </w:r>
      <w:r w:rsidR="00F33613" w:rsidRPr="00F33613">
        <w:rPr>
          <w:rFonts w:ascii="Arial" w:hAnsi="Arial" w:cs="Arial"/>
          <w:noProof/>
          <w:lang w:eastAsia="sk-SK"/>
        </w:rPr>
        <w:t>Lesnícke služby v pestovnej činnosti na organizačnej zložke OZ Považie na obdobie 2024 – 2026</w:t>
      </w:r>
      <w:r w:rsidR="004D207A" w:rsidRPr="003E7912">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lastRenderedPageBreak/>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056CD8"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056CD8">
        <w:rPr>
          <w:rFonts w:ascii="Arial" w:hAnsi="Arial" w:cs="Arial"/>
          <w:noProof/>
          <w:lang w:eastAsia="sk-SK"/>
        </w:rPr>
        <w:t xml:space="preserve">vo Vestníku verejného obstarávania č. </w:t>
      </w:r>
      <w:r w:rsidR="002A44A8" w:rsidRPr="00056CD8">
        <w:rPr>
          <w:rFonts w:ascii="Arial" w:hAnsi="Arial" w:cs="Arial"/>
          <w:noProof/>
          <w:lang w:eastAsia="sk-SK"/>
        </w:rPr>
        <w:t xml:space="preserve">............... zo dňa ................. pod zn. č. </w:t>
      </w:r>
      <w:r w:rsidR="004C510D" w:rsidRPr="00056CD8">
        <w:rPr>
          <w:rFonts w:ascii="Arial" w:hAnsi="Arial" w:cs="Arial"/>
          <w:noProof/>
          <w:lang w:eastAsia="sk-SK"/>
        </w:rPr>
        <w:t xml:space="preserve">........................ </w:t>
      </w:r>
      <w:r w:rsidR="002A44A8" w:rsidRPr="00056CD8">
        <w:rPr>
          <w:rFonts w:ascii="Arial" w:hAnsi="Arial" w:cs="Arial"/>
          <w:noProof/>
          <w:lang w:eastAsia="sk-SK"/>
        </w:rPr>
        <w:t>a v Úradnom vestníku EÚ</w:t>
      </w:r>
      <w:r w:rsidR="004C510D" w:rsidRPr="00056CD8">
        <w:rPr>
          <w:rFonts w:ascii="Arial" w:hAnsi="Arial" w:cs="Arial"/>
          <w:noProof/>
          <w:lang w:eastAsia="sk-SK"/>
        </w:rPr>
        <w:t xml:space="preserve"> č. </w:t>
      </w:r>
      <w:r w:rsidR="002A44A8" w:rsidRPr="00056CD8">
        <w:rPr>
          <w:rFonts w:ascii="Arial" w:hAnsi="Arial" w:cs="Arial"/>
          <w:noProof/>
          <w:lang w:eastAsia="sk-SK"/>
        </w:rPr>
        <w:t>..................</w:t>
      </w:r>
      <w:r w:rsidR="004C510D" w:rsidRPr="00056CD8">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52008E">
        <w:rPr>
          <w:rFonts w:ascii="Arial" w:hAnsi="Arial" w:cs="Arial"/>
          <w:highlight w:val="yellow"/>
          <w:lang w:eastAsia="sk-SK"/>
        </w:rPr>
        <w:t>Dodávateľ určuje nasledovných subdodávateľov, ktorých bude v</w:t>
      </w:r>
      <w:r w:rsidR="004C510D" w:rsidRPr="0052008E">
        <w:rPr>
          <w:rFonts w:ascii="Arial" w:hAnsi="Arial" w:cs="Arial"/>
          <w:highlight w:val="yellow"/>
          <w:lang w:eastAsia="sk-SK"/>
        </w:rPr>
        <w:t>yužívať pri plnení tejto dohody</w:t>
      </w:r>
      <w:r w:rsidR="004C510D" w:rsidRPr="003E7912">
        <w:rPr>
          <w:rFonts w:ascii="Arial" w:hAnsi="Arial" w:cs="Arial"/>
          <w:lang w:eastAsia="sk-SK"/>
        </w:rPr>
        <w:t>:</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EB3204">
        <w:rPr>
          <w:rFonts w:ascii="Arial" w:hAnsi="Arial" w:cs="Arial"/>
          <w:noProof/>
          <w:highlight w:val="yellow"/>
          <w:lang w:eastAsia="sk-SK"/>
        </w:rPr>
        <w:t>, kontaktné údaje</w:t>
      </w:r>
    </w:p>
    <w:p w:rsidR="00C10E45" w:rsidRPr="00C10E45" w:rsidRDefault="00C10E45" w:rsidP="00C10E45">
      <w:pPr>
        <w:pStyle w:val="Odsekzoznamu"/>
        <w:numPr>
          <w:ilvl w:val="0"/>
          <w:numId w:val="24"/>
        </w:numPr>
        <w:jc w:val="both"/>
        <w:rPr>
          <w:rFonts w:ascii="Arial" w:hAnsi="Arial" w:cs="Arial"/>
          <w:highlight w:val="yellow"/>
          <w:lang w:eastAsia="sk-SK"/>
        </w:rPr>
      </w:pPr>
      <w:r>
        <w:rPr>
          <w:rFonts w:ascii="Arial" w:hAnsi="Arial" w:cs="Arial"/>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lastRenderedPageBreak/>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lastRenderedPageBreak/>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A00EE4" w:rsidRPr="00056CD8" w:rsidRDefault="0058471D" w:rsidP="007816C1">
      <w:pPr>
        <w:pStyle w:val="Odsekzoznamu"/>
        <w:numPr>
          <w:ilvl w:val="1"/>
          <w:numId w:val="27"/>
        </w:numPr>
        <w:jc w:val="both"/>
        <w:rPr>
          <w:rFonts w:ascii="Arial" w:hAnsi="Arial" w:cs="Arial"/>
        </w:rPr>
      </w:pPr>
      <w:r w:rsidRPr="00056CD8">
        <w:rPr>
          <w:rFonts w:ascii="Arial" w:hAnsi="Arial" w:cs="Arial"/>
          <w:noProof/>
          <w:lang w:eastAsia="sk-SK"/>
        </w:rPr>
        <w:t>Miesto plnenia bude určené v objednávke a v zákazkovom liste</w:t>
      </w:r>
      <w:r w:rsidR="00927C99" w:rsidRPr="00056CD8">
        <w:rPr>
          <w:rFonts w:ascii="Arial" w:hAnsi="Arial" w:cs="Arial"/>
          <w:noProof/>
          <w:lang w:eastAsia="sk-SK"/>
        </w:rPr>
        <w:t xml:space="preserve">, pričom miesto plnenia bude v rámci územnej pôsobnosti </w:t>
      </w:r>
      <w:r w:rsidR="00927C99" w:rsidRPr="00056CD8">
        <w:rPr>
          <w:rFonts w:ascii="Arial" w:hAnsi="Arial" w:cs="Arial"/>
          <w:noProof/>
          <w:highlight w:val="yellow"/>
          <w:lang w:eastAsia="sk-SK"/>
        </w:rPr>
        <w:t xml:space="preserve">OZ </w:t>
      </w:r>
      <w:r w:rsidR="00972BE8" w:rsidRPr="00056CD8">
        <w:rPr>
          <w:rFonts w:ascii="Arial" w:hAnsi="Arial" w:cs="Arial"/>
          <w:noProof/>
          <w:highlight w:val="yellow"/>
          <w:lang w:eastAsia="sk-SK"/>
        </w:rPr>
        <w:t>...........</w:t>
      </w:r>
      <w:r w:rsidR="00C85A48" w:rsidRPr="00056CD8">
        <w:rPr>
          <w:rFonts w:ascii="Arial" w:hAnsi="Arial" w:cs="Arial"/>
          <w:noProof/>
          <w:highlight w:val="yellow"/>
          <w:lang w:eastAsia="sk-SK"/>
        </w:rPr>
        <w:t xml:space="preserve">, </w:t>
      </w:r>
      <w:r w:rsidR="00A00EE4" w:rsidRPr="00056CD8">
        <w:rPr>
          <w:rFonts w:ascii="Arial" w:hAnsi="Arial" w:cs="Arial"/>
          <w:noProof/>
          <w:highlight w:val="yellow"/>
          <w:lang w:eastAsia="sk-SK"/>
        </w:rPr>
        <w:t xml:space="preserve">LS </w:t>
      </w:r>
      <w:r w:rsidR="00F26F1F" w:rsidRPr="00056CD8">
        <w:rPr>
          <w:rFonts w:ascii="Arial" w:hAnsi="Arial" w:cs="Arial"/>
          <w:noProof/>
          <w:highlight w:val="yellow"/>
          <w:lang w:eastAsia="sk-SK"/>
        </w:rPr>
        <w:t xml:space="preserve">.............. LO </w:t>
      </w:r>
      <w:r w:rsidR="00056CD8" w:rsidRPr="003E7912">
        <w:rPr>
          <w:rFonts w:ascii="Arial" w:hAnsi="Arial" w:cs="Arial"/>
          <w:noProof/>
          <w:highlight w:val="yellow"/>
          <w:lang w:eastAsia="sk-SK"/>
        </w:rPr>
        <w:t>..................</w:t>
      </w:r>
      <w:r w:rsidR="00056CD8" w:rsidRPr="00076F3C">
        <w:rPr>
          <w:rFonts w:ascii="Arial" w:hAnsi="Arial" w:cs="Arial"/>
          <w:noProof/>
          <w:highlight w:val="yellow"/>
          <w:lang w:eastAsia="sk-SK"/>
        </w:rPr>
        <w:t>..(</w:t>
      </w:r>
      <w:r w:rsidR="00056CD8" w:rsidRPr="00076F3C">
        <w:rPr>
          <w:rFonts w:ascii="Arial" w:hAnsi="Arial" w:cs="Arial"/>
          <w:i/>
          <w:noProof/>
          <w:highlight w:val="yellow"/>
          <w:lang w:eastAsia="sk-SK"/>
        </w:rPr>
        <w:t>Vyplniť podľa Súťažných podkladov str.5)</w:t>
      </w:r>
    </w:p>
    <w:p w:rsidR="00056CD8" w:rsidRPr="00056CD8" w:rsidRDefault="00056CD8" w:rsidP="00056CD8">
      <w:pPr>
        <w:pStyle w:val="Odsekzoznamu"/>
        <w:ind w:left="360"/>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F33613">
        <w:rPr>
          <w:rFonts w:ascii="Arial" w:hAnsi="Arial" w:cs="Arial"/>
        </w:rPr>
        <w:t>4</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056CD8">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r w:rsidR="003E7912" w:rsidRPr="003E7912" w:rsidTr="00056CD8">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r w:rsidR="003E7912" w:rsidRPr="003E7912" w:rsidTr="00056CD8">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r w:rsidR="003E7912" w:rsidRPr="003E7912" w:rsidTr="00056CD8">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hideMark/>
          </w:tcPr>
          <w:p w:rsidR="009E7946" w:rsidRPr="00056CD8" w:rsidRDefault="009E7946" w:rsidP="009E7946">
            <w:pPr>
              <w:rPr>
                <w:rFonts w:ascii="Arial" w:hAnsi="Arial" w:cs="Arial"/>
                <w:highlight w:val="yellow"/>
                <w:lang w:eastAsia="sk-SK"/>
              </w:rPr>
            </w:pPr>
            <w:r w:rsidRPr="00056CD8">
              <w:rPr>
                <w:rFonts w:ascii="Arial" w:hAnsi="Arial" w:cs="Arial"/>
                <w:highlight w:val="yellow"/>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lastRenderedPageBreak/>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Prvé posúdenie pri ko</w:t>
      </w:r>
      <w:r w:rsidR="00F33613">
        <w:rPr>
          <w:rFonts w:ascii="Arial" w:hAnsi="Arial" w:cs="Arial"/>
        </w:rPr>
        <w:t>eficiente K1 prebehne k 1.1.2025</w:t>
      </w:r>
      <w:r w:rsidR="00EA63DD" w:rsidRPr="003E7912">
        <w:rPr>
          <w:rFonts w:ascii="Arial" w:hAnsi="Arial" w:cs="Arial"/>
        </w:rPr>
        <w:t xml:space="preserve">, nakoľko medziročný nárast </w:t>
      </w:r>
      <w:r w:rsidR="00E341A1" w:rsidRPr="003E7912">
        <w:rPr>
          <w:rFonts w:ascii="Arial" w:hAnsi="Arial" w:cs="Arial"/>
        </w:rPr>
        <w:t>osobných a materiálových nákladov medzi rokmi 202</w:t>
      </w:r>
      <w:r w:rsidR="00F33613">
        <w:rPr>
          <w:rFonts w:ascii="Arial" w:hAnsi="Arial" w:cs="Arial"/>
        </w:rPr>
        <w:t>3 a 2024</w:t>
      </w:r>
      <w:r w:rsidR="00E341A1" w:rsidRPr="003E7912">
        <w:rPr>
          <w:rFonts w:ascii="Arial" w:hAnsi="Arial" w:cs="Arial"/>
        </w:rPr>
        <w:t xml:space="preserve">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w:t>
      </w:r>
      <w:r w:rsidR="00F33613">
        <w:rPr>
          <w:rFonts w:ascii="Arial" w:hAnsi="Arial" w:cs="Arial"/>
        </w:rPr>
        <w:t>erných cien za prvý kvartál 2024</w:t>
      </w:r>
      <w:r w:rsidRPr="003E7912">
        <w:rPr>
          <w:rFonts w:ascii="Arial" w:hAnsi="Arial" w:cs="Arial"/>
        </w:rPr>
        <w:t xml:space="preserve">.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kvartálnou hodnotou od poslednej zmeny. Pri prvom posúdení bu</w:t>
      </w:r>
      <w:r w:rsidR="00F33613">
        <w:rPr>
          <w:rFonts w:ascii="Arial" w:hAnsi="Arial" w:cs="Arial"/>
        </w:rPr>
        <w:t>de priemerná cena za prvý Q 2024</w:t>
      </w:r>
      <w:r w:rsidRPr="003E7912">
        <w:rPr>
          <w:rFonts w:ascii="Arial" w:hAnsi="Arial" w:cs="Arial"/>
        </w:rPr>
        <w:t xml:space="preserve"> porovnávaná s priemernou cenou za </w:t>
      </w:r>
      <w:r w:rsidR="005A53D5" w:rsidRPr="003E7912">
        <w:rPr>
          <w:rFonts w:ascii="Arial" w:hAnsi="Arial" w:cs="Arial"/>
        </w:rPr>
        <w:t>rok</w:t>
      </w:r>
      <w:r w:rsidR="00F33613">
        <w:rPr>
          <w:rFonts w:ascii="Arial" w:hAnsi="Arial" w:cs="Arial"/>
        </w:rPr>
        <w:t xml:space="preserve"> 2023</w:t>
      </w:r>
      <w:r w:rsidRPr="003E7912">
        <w:rPr>
          <w:rFonts w:ascii="Arial" w:hAnsi="Arial" w:cs="Arial"/>
        </w:rPr>
        <w:t>.</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52008E" w:rsidTr="00D0310E">
        <w:tc>
          <w:tcPr>
            <w:tcW w:w="5000" w:type="pct"/>
          </w:tcPr>
          <w:p w:rsidR="00D0310E" w:rsidRPr="0052008E" w:rsidRDefault="00D0310E" w:rsidP="00044D33">
            <w:pPr>
              <w:spacing w:line="360" w:lineRule="auto"/>
              <w:jc w:val="both"/>
              <w:rPr>
                <w:rFonts w:ascii="Arial" w:hAnsi="Arial" w:cs="Arial"/>
              </w:rPr>
            </w:pPr>
            <w:r w:rsidRPr="0052008E">
              <w:rPr>
                <w:rFonts w:ascii="Arial" w:hAnsi="Arial" w:cs="Arial"/>
              </w:rPr>
              <w:t>Cena bez DPH:</w:t>
            </w:r>
          </w:p>
        </w:tc>
      </w:tr>
      <w:tr w:rsidR="003E7912" w:rsidRPr="0052008E" w:rsidTr="00D0310E">
        <w:tc>
          <w:tcPr>
            <w:tcW w:w="5000" w:type="pct"/>
          </w:tcPr>
          <w:p w:rsidR="00D0310E" w:rsidRPr="0052008E" w:rsidRDefault="00D0310E" w:rsidP="00044D33">
            <w:pPr>
              <w:spacing w:line="360" w:lineRule="auto"/>
              <w:jc w:val="both"/>
              <w:rPr>
                <w:rFonts w:ascii="Arial" w:hAnsi="Arial" w:cs="Arial"/>
              </w:rPr>
            </w:pPr>
            <w:r w:rsidRPr="0052008E">
              <w:rPr>
                <w:rFonts w:ascii="Arial" w:hAnsi="Arial" w:cs="Arial"/>
              </w:rPr>
              <w:t>DPH 20%:</w:t>
            </w:r>
          </w:p>
        </w:tc>
      </w:tr>
      <w:tr w:rsidR="003E7912" w:rsidRPr="0052008E" w:rsidTr="00D0310E">
        <w:tc>
          <w:tcPr>
            <w:tcW w:w="5000" w:type="pct"/>
          </w:tcPr>
          <w:p w:rsidR="00D0310E" w:rsidRPr="0052008E" w:rsidRDefault="00D0310E" w:rsidP="00044D33">
            <w:pPr>
              <w:spacing w:line="360" w:lineRule="auto"/>
              <w:jc w:val="both"/>
              <w:rPr>
                <w:rFonts w:ascii="Arial" w:hAnsi="Arial" w:cs="Arial"/>
              </w:rPr>
            </w:pPr>
            <w:r w:rsidRPr="0052008E">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52008E">
        <w:rPr>
          <w:rFonts w:ascii="Arial" w:hAnsi="Arial" w:cs="Arial"/>
        </w:rPr>
        <w:t xml:space="preserve">  </w:t>
      </w:r>
      <w:r w:rsidR="00A57946" w:rsidRPr="0052008E">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lastRenderedPageBreak/>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lastRenderedPageBreak/>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056CD8" w:rsidRDefault="00110B77" w:rsidP="0072766D">
            <w:pPr>
              <w:pStyle w:val="Bezriadkovania"/>
              <w:rPr>
                <w:rFonts w:ascii="Arial" w:hAnsi="Arial" w:cs="Arial"/>
                <w:sz w:val="20"/>
                <w:lang w:val="sk-SK"/>
              </w:rPr>
            </w:pPr>
            <w:r w:rsidRPr="00056CD8">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056CD8" w:rsidRPr="00056CD8" w:rsidRDefault="00056CD8" w:rsidP="00DD2480">
            <w:pPr>
              <w:jc w:val="center"/>
              <w:rPr>
                <w:rFonts w:ascii="Arial" w:eastAsia="Calibri" w:hAnsi="Arial" w:cs="Arial"/>
              </w:rPr>
            </w:pPr>
            <w:bookmarkStart w:id="2" w:name="_Hlk113622031"/>
            <w:r w:rsidRPr="00056CD8">
              <w:rPr>
                <w:rFonts w:ascii="Arial" w:eastAsia="Calibri" w:hAnsi="Arial" w:cs="Arial"/>
              </w:rPr>
              <w:t>Ing. Róbert Kiš</w:t>
            </w:r>
          </w:p>
          <w:p w:rsidR="00110B77" w:rsidRPr="00110B77" w:rsidRDefault="00110B77" w:rsidP="00DD2480">
            <w:pPr>
              <w:jc w:val="center"/>
              <w:rPr>
                <w:rFonts w:ascii="Arial" w:hAnsi="Arial" w:cs="Arial"/>
              </w:rPr>
            </w:pPr>
            <w:r w:rsidRPr="00056CD8">
              <w:rPr>
                <w:rFonts w:ascii="Arial" w:eastAsia="Calibri" w:hAnsi="Arial" w:cs="Arial"/>
              </w:rPr>
              <w:t xml:space="preserve">vedúci organizačnej zložky OZ </w:t>
            </w:r>
            <w:bookmarkEnd w:id="2"/>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056CD8">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056CD8" w:rsidRPr="00056CD8" w:rsidRDefault="00056CD8" w:rsidP="00DD2480">
            <w:pPr>
              <w:jc w:val="center"/>
              <w:rPr>
                <w:rFonts w:ascii="Arial" w:eastAsia="Calibri" w:hAnsi="Arial" w:cs="Arial"/>
              </w:rPr>
            </w:pPr>
            <w:r w:rsidRPr="00056CD8">
              <w:rPr>
                <w:rFonts w:ascii="Arial" w:eastAsia="Calibri" w:hAnsi="Arial" w:cs="Arial"/>
              </w:rPr>
              <w:t xml:space="preserve">Ing. </w:t>
            </w:r>
            <w:proofErr w:type="spellStart"/>
            <w:r w:rsidRPr="00056CD8">
              <w:rPr>
                <w:rFonts w:ascii="Arial" w:eastAsia="Calibri" w:hAnsi="Arial" w:cs="Arial"/>
              </w:rPr>
              <w:t>Róber</w:t>
            </w:r>
            <w:proofErr w:type="spellEnd"/>
            <w:r w:rsidRPr="00056CD8">
              <w:rPr>
                <w:rFonts w:ascii="Arial" w:eastAsia="Calibri" w:hAnsi="Arial" w:cs="Arial"/>
              </w:rPr>
              <w:t xml:space="preserve"> Kiš</w:t>
            </w:r>
          </w:p>
          <w:p w:rsidR="004C510D" w:rsidRPr="004C510D" w:rsidRDefault="00ED6F3D" w:rsidP="00DD2480">
            <w:pPr>
              <w:jc w:val="center"/>
              <w:rPr>
                <w:rFonts w:ascii="Arial" w:hAnsi="Arial" w:cs="Arial"/>
                <w:sz w:val="22"/>
                <w:szCs w:val="22"/>
              </w:rPr>
            </w:pPr>
            <w:r w:rsidRPr="00056CD8">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056CD8">
              <w:rPr>
                <w:rFonts w:ascii="Arial" w:hAnsi="Arial" w:cs="Arial"/>
              </w:rPr>
              <w:t xml:space="preserve"> Považie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6B088A" w:rsidP="00F3754F">
            <w:pPr>
              <w:spacing w:line="360" w:lineRule="auto"/>
              <w:jc w:val="both"/>
              <w:rPr>
                <w:rFonts w:ascii="Arial" w:hAnsi="Arial" w:cs="Arial"/>
              </w:rPr>
            </w:pPr>
            <w:r>
              <w:rPr>
                <w:rFonts w:ascii="Arial" w:hAnsi="Arial" w:cs="Arial"/>
              </w:rPr>
              <w:t>Hodžova 38, 911 01</w:t>
            </w:r>
            <w:r w:rsidR="00056CD8">
              <w:rPr>
                <w:rFonts w:ascii="Arial" w:hAnsi="Arial" w:cs="Arial"/>
              </w:rPr>
              <w:t xml:space="preserve"> Trenčín</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056CD8" w:rsidP="00DD2480">
            <w:pPr>
              <w:spacing w:line="360" w:lineRule="auto"/>
              <w:jc w:val="both"/>
              <w:rPr>
                <w:rFonts w:ascii="Arial" w:hAnsi="Arial" w:cs="Arial"/>
              </w:rPr>
            </w:pPr>
            <w:r>
              <w:rPr>
                <w:rFonts w:ascii="Arial" w:hAnsi="Arial" w:cs="Arial"/>
              </w:rPr>
              <w:t xml:space="preserve">Ing. Róbert Kiš </w:t>
            </w:r>
            <w:r w:rsidR="00C53BE6" w:rsidRPr="00AF7936">
              <w:rPr>
                <w:rFonts w:ascii="Arial" w:hAnsi="Arial" w:cs="Arial"/>
              </w:rPr>
              <w:t xml:space="preserve">- </w:t>
            </w:r>
            <w:r w:rsidR="00DD2480" w:rsidRPr="00AF7936">
              <w:rPr>
                <w:rFonts w:ascii="Arial" w:hAnsi="Arial" w:cs="Arial"/>
              </w:rPr>
              <w:t>vedúci</w:t>
            </w:r>
            <w:r w:rsidR="00C53BE6" w:rsidRPr="00AF7936">
              <w:rPr>
                <w:rFonts w:ascii="Arial" w:hAnsi="Arial" w:cs="Arial"/>
              </w:rPr>
              <w:t xml:space="preserve"> </w:t>
            </w:r>
            <w:proofErr w:type="spellStart"/>
            <w:r w:rsidR="00C53BE6" w:rsidRPr="00AF7936">
              <w:rPr>
                <w:rFonts w:ascii="Arial" w:hAnsi="Arial" w:cs="Arial"/>
              </w:rPr>
              <w:t>oz</w:t>
            </w:r>
            <w:proofErr w:type="spellEnd"/>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Obchodné meno:</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b/>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Sídlo:</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IČO:</w:t>
            </w:r>
          </w:p>
        </w:tc>
        <w:tc>
          <w:tcPr>
            <w:tcW w:w="3932" w:type="pct"/>
            <w:tcBorders>
              <w:left w:val="nil"/>
            </w:tcBorders>
            <w:shd w:val="clear" w:color="auto" w:fill="auto"/>
          </w:tcPr>
          <w:p w:rsidR="004C510D" w:rsidRPr="00056CD8" w:rsidRDefault="004C510D" w:rsidP="004C510D">
            <w:pPr>
              <w:pStyle w:val="Pta"/>
              <w:spacing w:after="0" w:line="360" w:lineRule="auto"/>
              <w:jc w:val="both"/>
              <w:rPr>
                <w:rFonts w:ascii="Arial" w:hAnsi="Arial" w:cs="Arial"/>
                <w:sz w:val="20"/>
                <w:szCs w:val="20"/>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DIČ:</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IČ DPH:</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B50061" w:rsidRPr="00056CD8" w:rsidTr="0072766D">
        <w:tc>
          <w:tcPr>
            <w:tcW w:w="1068" w:type="pct"/>
            <w:tcBorders>
              <w:top w:val="nil"/>
              <w:bottom w:val="nil"/>
              <w:right w:val="nil"/>
            </w:tcBorders>
            <w:shd w:val="clear" w:color="auto" w:fill="auto"/>
          </w:tcPr>
          <w:p w:rsidR="00B50061" w:rsidRPr="00056CD8" w:rsidRDefault="00B50061" w:rsidP="004C510D">
            <w:pPr>
              <w:spacing w:line="360" w:lineRule="auto"/>
              <w:jc w:val="both"/>
              <w:rPr>
                <w:rFonts w:ascii="Arial" w:hAnsi="Arial" w:cs="Arial"/>
                <w:highlight w:val="yellow"/>
              </w:rPr>
            </w:pPr>
            <w:r w:rsidRPr="00B50061">
              <w:rPr>
                <w:rFonts w:ascii="Arial" w:hAnsi="Arial" w:cs="Arial"/>
                <w:highlight w:val="yellow"/>
              </w:rPr>
              <w:t>Číslo účtu (IBAN):</w:t>
            </w:r>
          </w:p>
        </w:tc>
        <w:tc>
          <w:tcPr>
            <w:tcW w:w="3932" w:type="pct"/>
            <w:tcBorders>
              <w:left w:val="nil"/>
            </w:tcBorders>
            <w:shd w:val="clear" w:color="auto" w:fill="auto"/>
          </w:tcPr>
          <w:p w:rsidR="00B50061" w:rsidRPr="00056CD8" w:rsidRDefault="00B50061" w:rsidP="004C510D">
            <w:pPr>
              <w:spacing w:line="360" w:lineRule="auto"/>
              <w:jc w:val="both"/>
              <w:rPr>
                <w:rFonts w:ascii="Arial" w:hAnsi="Arial" w:cs="Arial"/>
                <w:highlight w:val="yellow"/>
              </w:rPr>
            </w:pPr>
          </w:p>
        </w:tc>
      </w:tr>
      <w:tr w:rsidR="004C510D" w:rsidRPr="00056CD8" w:rsidTr="0072766D">
        <w:tc>
          <w:tcPr>
            <w:tcW w:w="1068" w:type="pct"/>
            <w:tcBorders>
              <w:top w:val="nil"/>
              <w:bottom w:val="nil"/>
              <w:right w:val="nil"/>
            </w:tcBorders>
            <w:shd w:val="clear" w:color="auto" w:fill="auto"/>
          </w:tcPr>
          <w:p w:rsidR="004C510D" w:rsidRPr="00056CD8" w:rsidRDefault="004C510D" w:rsidP="004C510D">
            <w:pPr>
              <w:spacing w:line="360" w:lineRule="auto"/>
              <w:jc w:val="both"/>
              <w:rPr>
                <w:rFonts w:ascii="Arial" w:hAnsi="Arial" w:cs="Arial"/>
                <w:highlight w:val="yellow"/>
              </w:rPr>
            </w:pPr>
            <w:r w:rsidRPr="00056CD8">
              <w:rPr>
                <w:rFonts w:ascii="Arial" w:hAnsi="Arial" w:cs="Arial"/>
                <w:highlight w:val="yellow"/>
              </w:rPr>
              <w:t>Právne zastúpený:</w:t>
            </w:r>
          </w:p>
        </w:tc>
        <w:tc>
          <w:tcPr>
            <w:tcW w:w="3932" w:type="pct"/>
            <w:tcBorders>
              <w:left w:val="nil"/>
            </w:tcBorders>
            <w:shd w:val="clear" w:color="auto" w:fill="auto"/>
          </w:tcPr>
          <w:p w:rsidR="004C510D" w:rsidRPr="00056CD8" w:rsidRDefault="004C510D" w:rsidP="004C510D">
            <w:pPr>
              <w:spacing w:line="360" w:lineRule="auto"/>
              <w:jc w:val="both"/>
              <w:rPr>
                <w:rFonts w:ascii="Arial" w:hAnsi="Arial" w:cs="Arial"/>
                <w:highlight w:val="yellow"/>
              </w:rPr>
            </w:pPr>
          </w:p>
        </w:tc>
      </w:tr>
      <w:tr w:rsidR="004C510D" w:rsidRPr="00AF7936" w:rsidTr="00B50061">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056CD8">
              <w:rPr>
                <w:rFonts w:ascii="Arial" w:hAnsi="Arial" w:cs="Arial"/>
                <w:highlight w:val="yellow"/>
              </w:rPr>
              <w:t>Kontakt:</w:t>
            </w:r>
          </w:p>
        </w:tc>
        <w:tc>
          <w:tcPr>
            <w:tcW w:w="3932" w:type="pct"/>
            <w:tcBorders>
              <w:left w:val="nil"/>
            </w:tcBorders>
            <w:shd w:val="clear" w:color="auto" w:fill="auto"/>
            <w:vAlign w:val="center"/>
          </w:tcPr>
          <w:p w:rsidR="004C510D" w:rsidRPr="00AF7936" w:rsidRDefault="004C510D" w:rsidP="00B50061">
            <w:pPr>
              <w:spacing w:line="360" w:lineRule="auto"/>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056CD8">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Pr="00056CD8"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056CD8">
        <w:rPr>
          <w:rFonts w:ascii="Arial" w:hAnsi="Arial" w:cs="Arial"/>
        </w:rPr>
        <w:t>č</w:t>
      </w:r>
      <w:r w:rsidR="00507454" w:rsidRPr="00056CD8">
        <w:rPr>
          <w:rFonts w:ascii="Arial" w:hAnsi="Arial" w:cs="Arial"/>
        </w:rPr>
        <w:t xml:space="preserve">. </w:t>
      </w:r>
      <w:r w:rsidRPr="00056CD8">
        <w:rPr>
          <w:rFonts w:ascii="Arial" w:hAnsi="Arial" w:cs="Arial"/>
        </w:rPr>
        <w:t>.............</w:t>
      </w:r>
      <w:r w:rsidR="00507454" w:rsidRPr="00056CD8">
        <w:rPr>
          <w:rFonts w:ascii="Arial" w:hAnsi="Arial" w:cs="Arial"/>
        </w:rPr>
        <w:t xml:space="preserve"> </w:t>
      </w:r>
      <w:r w:rsidRPr="00056CD8">
        <w:rPr>
          <w:rFonts w:ascii="Arial" w:hAnsi="Arial" w:cs="Arial"/>
        </w:rPr>
        <w:t>uzatvorenej dňa ................</w:t>
      </w:r>
      <w:r w:rsidR="00507454" w:rsidRPr="00056CD8">
        <w:rPr>
          <w:rFonts w:ascii="Arial" w:hAnsi="Arial" w:cs="Arial"/>
        </w:rPr>
        <w:t xml:space="preserve"> </w:t>
      </w:r>
      <w:r w:rsidRPr="00056CD8">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056CD8">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056CD8">
              <w:rPr>
                <w:rFonts w:ascii="Arial" w:eastAsia="Calibri" w:hAnsi="Arial" w:cs="Arial"/>
                <w:b/>
              </w:rPr>
              <w:t>Róbert Kiš</w:t>
            </w:r>
          </w:p>
          <w:p w:rsidR="00A43B54" w:rsidRPr="00110B77" w:rsidRDefault="00ED6F3D" w:rsidP="00142CFD">
            <w:pPr>
              <w:jc w:val="center"/>
              <w:rPr>
                <w:rFonts w:ascii="Arial" w:hAnsi="Arial" w:cs="Arial"/>
              </w:rPr>
            </w:pPr>
            <w:r w:rsidRPr="00056CD8">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056CD8">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645BAE">
              <w:rPr>
                <w:rFonts w:cs="Arial"/>
                <w:b/>
                <w:color w:val="FF0000"/>
                <w:sz w:val="17"/>
                <w:szCs w:val="17"/>
              </w:rPr>
              <w:t>24</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056CD8">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645BAE">
              <w:rPr>
                <w:rFonts w:cs="Arial"/>
                <w:b/>
                <w:color w:val="FF0000"/>
                <w:sz w:val="17"/>
                <w:szCs w:val="17"/>
              </w:rPr>
              <w:t>24</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056CD8">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BD4B4" w:themeFill="accent6" w:themeFillTint="66"/>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056CD8">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7,95</w:t>
            </w:r>
          </w:p>
        </w:tc>
      </w:tr>
      <w:tr w:rsidR="00FD14B5" w:rsidRPr="004A577B" w:rsidTr="00056CD8">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9,60</w:t>
            </w:r>
          </w:p>
        </w:tc>
      </w:tr>
      <w:tr w:rsidR="00FD14B5" w:rsidRPr="004A577B" w:rsidTr="00056CD8">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Pr>
                <w:rFonts w:cs="Arial"/>
                <w:b/>
                <w:bCs/>
                <w:sz w:val="19"/>
                <w:szCs w:val="19"/>
              </w:rPr>
              <w:t>19,70</w:t>
            </w:r>
          </w:p>
        </w:tc>
      </w:tr>
      <w:tr w:rsidR="00FD14B5" w:rsidRPr="004A577B" w:rsidTr="00056CD8">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BD4B4" w:themeFill="accent6" w:themeFillTint="66"/>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056CD8">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056CD8">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056CD8">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14B5" w:rsidRDefault="00FD14B5" w:rsidP="00FD14B5">
            <w:pPr>
              <w:spacing w:before="40" w:after="20"/>
              <w:ind w:right="283"/>
              <w:jc w:val="right"/>
            </w:pPr>
            <w:r>
              <w:rPr>
                <w:rFonts w:cs="Arial"/>
                <w:b/>
                <w:bCs/>
                <w:sz w:val="19"/>
                <w:szCs w:val="19"/>
                <w:lang w:eastAsia="sk-SK"/>
              </w:rPr>
              <w:t>19,70</w:t>
            </w:r>
          </w:p>
        </w:tc>
      </w:tr>
      <w:tr w:rsidR="00FD14B5" w:rsidRPr="004A577B" w:rsidTr="00056CD8">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7,95</w:t>
            </w:r>
          </w:p>
        </w:tc>
      </w:tr>
      <w:tr w:rsidR="00FD14B5" w:rsidRPr="004A577B" w:rsidTr="00056CD8">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7,95</w:t>
            </w:r>
          </w:p>
        </w:tc>
      </w:tr>
      <w:tr w:rsidR="00FD14B5" w:rsidRPr="004A577B" w:rsidTr="00056CD8">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8,70</w:t>
            </w:r>
          </w:p>
        </w:tc>
      </w:tr>
      <w:tr w:rsidR="00FD14B5" w:rsidRPr="004A577B" w:rsidTr="00056CD8">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056CD8">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056CD8">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056CD8">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056CD8">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D14B5" w:rsidRDefault="00FD14B5" w:rsidP="00FD14B5">
            <w:pPr>
              <w:spacing w:before="40" w:after="20"/>
              <w:ind w:right="283"/>
              <w:jc w:val="right"/>
            </w:pPr>
            <w:r>
              <w:rPr>
                <w:rFonts w:cs="Arial"/>
                <w:b/>
                <w:bCs/>
                <w:sz w:val="19"/>
                <w:szCs w:val="19"/>
                <w:lang w:eastAsia="sk-SK"/>
              </w:rPr>
              <w:t>19,70</w:t>
            </w:r>
          </w:p>
        </w:tc>
      </w:tr>
      <w:tr w:rsidR="00FD14B5" w:rsidRPr="004A577B" w:rsidTr="00056CD8">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8,85</w:t>
            </w:r>
          </w:p>
        </w:tc>
      </w:tr>
      <w:tr w:rsidR="00FD14B5" w:rsidRPr="004A577B" w:rsidTr="00056CD8">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645BAE">
              <w:rPr>
                <w:rFonts w:cs="Arial"/>
                <w:b/>
                <w:color w:val="FF0000"/>
                <w:sz w:val="17"/>
                <w:szCs w:val="17"/>
              </w:rPr>
              <w:t>24</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056CD8">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056CD8">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056CD8">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056CD8">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056CD8">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056CD8">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056CD8">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056CD8">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056CD8">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056CD8">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645BAE">
              <w:rPr>
                <w:rFonts w:cs="Arial"/>
                <w:b/>
                <w:color w:val="FF0000"/>
                <w:sz w:val="17"/>
                <w:szCs w:val="17"/>
              </w:rPr>
              <w:t>24</w:t>
            </w:r>
            <w:bookmarkStart w:id="4" w:name="_GoBack"/>
            <w:bookmarkEnd w:id="4"/>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Pr="00056CD8" w:rsidRDefault="00507454" w:rsidP="0093701B">
      <w:pPr>
        <w:ind w:firstLine="3828"/>
        <w:jc w:val="right"/>
        <w:rPr>
          <w:rFonts w:ascii="Arial" w:hAnsi="Arial"/>
          <w:i/>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w:t>
      </w:r>
      <w:r w:rsidR="00056CD8">
        <w:rPr>
          <w:rFonts w:ascii="Arial" w:hAnsi="Arial"/>
          <w:b/>
          <w:noProof/>
          <w:lang w:eastAsia="sk-SK"/>
        </w:rPr>
        <w:t> </w:t>
      </w:r>
      <w:r w:rsidR="00335A21" w:rsidRPr="00970261">
        <w:rPr>
          <w:rFonts w:ascii="Arial" w:hAnsi="Arial"/>
          <w:b/>
          <w:noProof/>
          <w:lang w:eastAsia="sk-SK"/>
        </w:rPr>
        <w:t>dohode</w:t>
      </w:r>
      <w:r w:rsidR="00056CD8">
        <w:rPr>
          <w:rFonts w:ascii="Arial" w:hAnsi="Arial"/>
          <w:b/>
          <w:noProof/>
          <w:lang w:eastAsia="sk-SK"/>
        </w:rPr>
        <w:t xml:space="preserve"> </w:t>
      </w:r>
      <w:r w:rsidR="00056CD8" w:rsidRPr="00056CD8">
        <w:rPr>
          <w:rFonts w:ascii="Arial" w:hAnsi="Arial"/>
          <w:i/>
          <w:noProof/>
          <w:lang w:eastAsia="sk-SK"/>
        </w:rPr>
        <w:t>(Nevypĺňať-len vzor)</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štátny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štátny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štátny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štátny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68730439"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056CD8" w:rsidRDefault="00D932AD" w:rsidP="00056CD8">
            <w:pPr>
              <w:spacing w:line="360" w:lineRule="auto"/>
              <w:jc w:val="both"/>
              <w:rPr>
                <w:rFonts w:ascii="Arial" w:hAnsi="Arial" w:cs="Arial"/>
              </w:rPr>
            </w:pPr>
            <w:r w:rsidRPr="00056CD8">
              <w:rPr>
                <w:rFonts w:ascii="Arial" w:hAnsi="Arial" w:cs="Arial"/>
                <w:bCs/>
              </w:rPr>
              <w:t xml:space="preserve">organizačná zložka OZ </w:t>
            </w:r>
            <w:r w:rsidR="00056CD8" w:rsidRPr="00056CD8">
              <w:rPr>
                <w:rFonts w:ascii="Arial" w:hAnsi="Arial" w:cs="Arial"/>
              </w:rPr>
              <w:t>Považie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056CD8" w:rsidRDefault="006B088A" w:rsidP="00D932AD">
            <w:pPr>
              <w:spacing w:line="360" w:lineRule="auto"/>
              <w:jc w:val="both"/>
              <w:rPr>
                <w:rFonts w:ascii="Arial" w:hAnsi="Arial" w:cs="Arial"/>
              </w:rPr>
            </w:pPr>
            <w:r>
              <w:rPr>
                <w:rFonts w:ascii="Arial" w:hAnsi="Arial" w:cs="Arial"/>
              </w:rPr>
              <w:t>Hodžova 38, 911 01</w:t>
            </w:r>
            <w:r w:rsidR="00056CD8" w:rsidRPr="00056CD8">
              <w:rPr>
                <w:rFonts w:ascii="Arial" w:hAnsi="Arial" w:cs="Arial"/>
              </w:rPr>
              <w:t xml:space="preserve"> Trenčín</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056CD8" w:rsidRDefault="00056CD8" w:rsidP="00D932AD">
            <w:pPr>
              <w:spacing w:line="360" w:lineRule="auto"/>
              <w:jc w:val="both"/>
              <w:rPr>
                <w:rFonts w:ascii="Arial" w:hAnsi="Arial" w:cs="Arial"/>
              </w:rPr>
            </w:pPr>
            <w:r w:rsidRPr="00056CD8">
              <w:rPr>
                <w:rFonts w:ascii="Arial" w:hAnsi="Arial" w:cs="Arial"/>
              </w:rPr>
              <w:t>Róbert Kiš</w:t>
            </w:r>
            <w:r w:rsidR="00D932AD" w:rsidRPr="00056CD8">
              <w:rPr>
                <w:rFonts w:ascii="Arial" w:hAnsi="Arial" w:cs="Arial"/>
              </w:rPr>
              <w:t xml:space="preserve"> -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056CD8" w:rsidRDefault="00D932AD" w:rsidP="00D932AD">
            <w:pPr>
              <w:spacing w:line="360" w:lineRule="auto"/>
              <w:jc w:val="both"/>
              <w:rPr>
                <w:rFonts w:ascii="Arial" w:hAnsi="Arial" w:cs="Arial"/>
              </w:rPr>
            </w:pPr>
            <w:r w:rsidRPr="00056CD8">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056CD8" w:rsidRDefault="00D932AD" w:rsidP="00D932AD">
      <w:pPr>
        <w:pStyle w:val="Zkladntext1"/>
        <w:shd w:val="clear" w:color="auto" w:fill="auto"/>
        <w:spacing w:line="240" w:lineRule="auto"/>
        <w:rPr>
          <w:rFonts w:ascii="Arial" w:hAnsi="Arial" w:cs="Arial"/>
          <w:b/>
          <w:sz w:val="20"/>
          <w:highlight w:val="yellow"/>
        </w:rPr>
      </w:pPr>
      <w:r w:rsidRPr="00056CD8">
        <w:rPr>
          <w:rFonts w:ascii="Arial" w:hAnsi="Arial" w:cs="Arial"/>
          <w:b/>
          <w:sz w:val="20"/>
          <w:highlight w:val="yellow"/>
        </w:rPr>
        <w:t>Dodávateľ:</w:t>
      </w:r>
    </w:p>
    <w:tbl>
      <w:tblPr>
        <w:tblW w:w="5000" w:type="pct"/>
        <w:tblLook w:val="04A0" w:firstRow="1" w:lastRow="0" w:firstColumn="1" w:lastColumn="0" w:noHBand="0" w:noVBand="1"/>
      </w:tblPr>
      <w:tblGrid>
        <w:gridCol w:w="3337"/>
        <w:gridCol w:w="5735"/>
      </w:tblGrid>
      <w:tr w:rsidR="00D932AD" w:rsidRPr="00056CD8" w:rsidTr="00D932AD">
        <w:tc>
          <w:tcPr>
            <w:tcW w:w="1839" w:type="pct"/>
            <w:shd w:val="clear" w:color="auto" w:fill="auto"/>
          </w:tcPr>
          <w:p w:rsidR="00D932AD" w:rsidRPr="00056CD8" w:rsidRDefault="00D932AD" w:rsidP="00D932AD">
            <w:pPr>
              <w:spacing w:line="360" w:lineRule="auto"/>
              <w:rPr>
                <w:rFonts w:ascii="Arial" w:hAnsi="Arial" w:cs="Arial"/>
                <w:b/>
                <w:highlight w:val="yellow"/>
              </w:rPr>
            </w:pPr>
            <w:r w:rsidRPr="00056CD8">
              <w:rPr>
                <w:rFonts w:ascii="Arial" w:hAnsi="Arial" w:cs="Arial"/>
                <w:highlight w:val="yellow"/>
              </w:rPr>
              <w:t>Obchodný názov:</w:t>
            </w:r>
          </w:p>
        </w:tc>
        <w:tc>
          <w:tcPr>
            <w:tcW w:w="3161" w:type="pct"/>
            <w:tcBorders>
              <w:bottom w:val="dashed" w:sz="4" w:space="0" w:color="auto"/>
            </w:tcBorders>
            <w:shd w:val="clear" w:color="auto" w:fill="auto"/>
          </w:tcPr>
          <w:p w:rsidR="00D932AD" w:rsidRPr="00056CD8" w:rsidRDefault="00D932AD" w:rsidP="00D932AD">
            <w:pPr>
              <w:spacing w:line="360" w:lineRule="auto"/>
              <w:rPr>
                <w:rFonts w:ascii="Arial" w:hAnsi="Arial" w:cs="Arial"/>
                <w:highlight w:val="yellow"/>
              </w:rPr>
            </w:pPr>
          </w:p>
        </w:tc>
      </w:tr>
      <w:tr w:rsidR="00D932AD" w:rsidRPr="00056CD8" w:rsidTr="00D932AD">
        <w:tc>
          <w:tcPr>
            <w:tcW w:w="1839" w:type="pct"/>
            <w:shd w:val="clear" w:color="auto" w:fill="auto"/>
          </w:tcPr>
          <w:p w:rsidR="00D932AD" w:rsidRPr="00056CD8" w:rsidRDefault="00D932AD" w:rsidP="00D932AD">
            <w:pPr>
              <w:spacing w:line="360" w:lineRule="auto"/>
              <w:rPr>
                <w:rFonts w:ascii="Arial" w:hAnsi="Arial" w:cs="Arial"/>
                <w:b/>
                <w:highlight w:val="yellow"/>
              </w:rPr>
            </w:pPr>
            <w:r w:rsidRPr="00056CD8">
              <w:rPr>
                <w:rFonts w:ascii="Arial" w:hAnsi="Arial" w:cs="Arial"/>
                <w:highlight w:val="yellow"/>
              </w:rPr>
              <w:t>Sídlo:</w:t>
            </w:r>
          </w:p>
        </w:tc>
        <w:tc>
          <w:tcPr>
            <w:tcW w:w="3161" w:type="pct"/>
            <w:tcBorders>
              <w:top w:val="dashed" w:sz="4" w:space="0" w:color="auto"/>
              <w:bottom w:val="dashed" w:sz="4" w:space="0" w:color="auto"/>
            </w:tcBorders>
            <w:shd w:val="clear" w:color="auto" w:fill="auto"/>
          </w:tcPr>
          <w:p w:rsidR="00D932AD" w:rsidRPr="00056CD8" w:rsidRDefault="00D932AD" w:rsidP="00D932AD">
            <w:pPr>
              <w:spacing w:line="360" w:lineRule="auto"/>
              <w:rPr>
                <w:rFonts w:ascii="Arial" w:hAnsi="Arial" w:cs="Arial"/>
                <w:highlight w:val="yellow"/>
              </w:rPr>
            </w:pPr>
          </w:p>
        </w:tc>
      </w:tr>
      <w:tr w:rsidR="00D932AD" w:rsidRPr="00056CD8" w:rsidTr="00D932AD">
        <w:tc>
          <w:tcPr>
            <w:tcW w:w="1839" w:type="pct"/>
            <w:shd w:val="clear" w:color="auto" w:fill="auto"/>
          </w:tcPr>
          <w:p w:rsidR="00D932AD" w:rsidRPr="00056CD8" w:rsidRDefault="00D932AD" w:rsidP="00D932AD">
            <w:pPr>
              <w:spacing w:line="360" w:lineRule="auto"/>
              <w:rPr>
                <w:rFonts w:ascii="Arial" w:hAnsi="Arial" w:cs="Arial"/>
                <w:b/>
                <w:highlight w:val="yellow"/>
              </w:rPr>
            </w:pPr>
            <w:r w:rsidRPr="00056CD8">
              <w:rPr>
                <w:rFonts w:ascii="Arial" w:hAnsi="Arial" w:cs="Arial"/>
                <w:highlight w:val="yellow"/>
              </w:rPr>
              <w:t>IČO:</w:t>
            </w:r>
          </w:p>
        </w:tc>
        <w:tc>
          <w:tcPr>
            <w:tcW w:w="3161" w:type="pct"/>
            <w:tcBorders>
              <w:top w:val="dashed" w:sz="4" w:space="0" w:color="auto"/>
              <w:bottom w:val="dashed" w:sz="4" w:space="0" w:color="auto"/>
            </w:tcBorders>
            <w:shd w:val="clear" w:color="auto" w:fill="auto"/>
          </w:tcPr>
          <w:p w:rsidR="00D932AD" w:rsidRPr="00056CD8" w:rsidRDefault="00D932AD" w:rsidP="00D932AD">
            <w:pPr>
              <w:spacing w:line="360" w:lineRule="auto"/>
              <w:rPr>
                <w:rFonts w:ascii="Arial" w:hAnsi="Arial" w:cs="Arial"/>
                <w:highlight w:val="yellow"/>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056CD8">
              <w:rPr>
                <w:rFonts w:ascii="Arial" w:hAnsi="Arial" w:cs="Arial"/>
                <w:color w:val="000000" w:themeColor="text1"/>
                <w:highlight w:val="yellow"/>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52008E" w:rsidRPr="0052008E">
        <w:rPr>
          <w:rFonts w:ascii="Arial" w:hAnsi="Arial" w:cs="Arial"/>
          <w:b/>
        </w:rPr>
        <w:t>Lesnícke služby v pestovnej činnosti na organizačnej zložke OZ Považie na obdobie 2024 – 2026 VC 11 a 12 na LS Prievidza</w:t>
      </w:r>
      <w:r w:rsidRPr="00056CD8">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056CD8" w:rsidRDefault="00D932AD" w:rsidP="00D932AD">
      <w:pPr>
        <w:shd w:val="clear" w:color="auto" w:fill="FFFFFF"/>
        <w:rPr>
          <w:rFonts w:ascii="Arial" w:hAnsi="Arial" w:cs="Arial"/>
          <w:highlight w:val="yellow"/>
        </w:rPr>
      </w:pPr>
      <w:r w:rsidRPr="0093701B">
        <w:rPr>
          <w:rFonts w:ascii="Arial" w:hAnsi="Arial" w:cs="Arial"/>
        </w:rPr>
        <w:t xml:space="preserve">V </w:t>
      </w:r>
      <w:r w:rsidRPr="00056CD8">
        <w:rPr>
          <w:rFonts w:ascii="Arial" w:hAnsi="Arial" w:cs="Arial"/>
          <w:highlight w:val="yellow"/>
        </w:rPr>
        <w:t>.................................... dňa .................</w:t>
      </w:r>
    </w:p>
    <w:p w:rsidR="00D932AD" w:rsidRPr="00056CD8" w:rsidRDefault="00D932AD" w:rsidP="00D932AD">
      <w:pPr>
        <w:shd w:val="clear" w:color="auto" w:fill="FFFFFF"/>
        <w:rPr>
          <w:rFonts w:ascii="Arial" w:hAnsi="Arial" w:cs="Arial"/>
          <w:highlight w:val="yellow"/>
        </w:rPr>
      </w:pPr>
    </w:p>
    <w:p w:rsidR="00D932AD" w:rsidRPr="00056CD8" w:rsidRDefault="00D932AD" w:rsidP="00D932AD">
      <w:pPr>
        <w:shd w:val="clear" w:color="auto" w:fill="FFFFFF"/>
        <w:rPr>
          <w:rFonts w:ascii="Arial" w:hAnsi="Arial" w:cs="Arial"/>
          <w:highlight w:val="yellow"/>
        </w:rPr>
      </w:pPr>
    </w:p>
    <w:p w:rsidR="00D932AD" w:rsidRPr="00056CD8" w:rsidRDefault="00D932AD" w:rsidP="00D932AD">
      <w:pPr>
        <w:shd w:val="clear" w:color="auto" w:fill="FFFFFF"/>
        <w:rPr>
          <w:rFonts w:ascii="Arial" w:hAnsi="Arial" w:cs="Arial"/>
          <w:highlight w:val="yellow"/>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056CD8" w:rsidRDefault="00D932AD" w:rsidP="00D932AD">
            <w:pPr>
              <w:rPr>
                <w:rFonts w:ascii="Arial" w:hAnsi="Arial" w:cs="Arial"/>
                <w:highlight w:val="yellow"/>
              </w:rPr>
            </w:pPr>
          </w:p>
        </w:tc>
        <w:tc>
          <w:tcPr>
            <w:tcW w:w="2500" w:type="pct"/>
            <w:tcBorders>
              <w:top w:val="dashed" w:sz="4" w:space="0" w:color="auto"/>
            </w:tcBorders>
          </w:tcPr>
          <w:p w:rsidR="00D932AD" w:rsidRPr="00056CD8" w:rsidRDefault="00D932AD" w:rsidP="00D932AD">
            <w:pPr>
              <w:jc w:val="center"/>
              <w:rPr>
                <w:rFonts w:ascii="Arial" w:hAnsi="Arial" w:cs="Arial"/>
                <w:highlight w:val="yellow"/>
              </w:rPr>
            </w:pPr>
            <w:r w:rsidRPr="00056CD8">
              <w:rPr>
                <w:rFonts w:ascii="Arial" w:hAnsi="Arial" w:cs="Arial"/>
                <w:highlight w:val="yellow"/>
              </w:rPr>
              <w:t>štatutárny zástupca uchádzača</w:t>
            </w:r>
          </w:p>
          <w:p w:rsidR="00D932AD" w:rsidRPr="0093701B" w:rsidRDefault="00D932AD" w:rsidP="00D932AD">
            <w:pPr>
              <w:jc w:val="center"/>
              <w:rPr>
                <w:rFonts w:ascii="Arial" w:hAnsi="Arial" w:cs="Arial"/>
                <w:b/>
              </w:rPr>
            </w:pPr>
            <w:r w:rsidRPr="00056CD8">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A2" w:rsidRDefault="006F46A2" w:rsidP="008F1132">
      <w:r>
        <w:separator/>
      </w:r>
    </w:p>
  </w:endnote>
  <w:endnote w:type="continuationSeparator" w:id="0">
    <w:p w:rsidR="006F46A2" w:rsidRDefault="006F46A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645BAE">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A2" w:rsidRDefault="006F46A2" w:rsidP="008F1132">
      <w:r>
        <w:separator/>
      </w:r>
    </w:p>
  </w:footnote>
  <w:footnote w:type="continuationSeparator" w:id="0">
    <w:p w:rsidR="006F46A2" w:rsidRDefault="006F46A2"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6CD8"/>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3D00"/>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5A1C"/>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08E"/>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BAE"/>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88A"/>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6F46A2"/>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A7CB8"/>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0061"/>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78D"/>
    <w:rsid w:val="00BD196F"/>
    <w:rsid w:val="00BD46E9"/>
    <w:rsid w:val="00BD5695"/>
    <w:rsid w:val="00BE0D74"/>
    <w:rsid w:val="00BE168F"/>
    <w:rsid w:val="00BE300B"/>
    <w:rsid w:val="00BE740C"/>
    <w:rsid w:val="00BF2E37"/>
    <w:rsid w:val="00BF34C5"/>
    <w:rsid w:val="00BF4B27"/>
    <w:rsid w:val="00BF611E"/>
    <w:rsid w:val="00BF62EA"/>
    <w:rsid w:val="00C07567"/>
    <w:rsid w:val="00C10E45"/>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77DE2"/>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0C8"/>
    <w:rsid w:val="00D476E0"/>
    <w:rsid w:val="00D47DBA"/>
    <w:rsid w:val="00D51D54"/>
    <w:rsid w:val="00D52A83"/>
    <w:rsid w:val="00D535E4"/>
    <w:rsid w:val="00D557CE"/>
    <w:rsid w:val="00D56EB8"/>
    <w:rsid w:val="00D57976"/>
    <w:rsid w:val="00D61C32"/>
    <w:rsid w:val="00D6619C"/>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B3204"/>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3613"/>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1C318"/>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43912214">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7AB3-4BD4-4687-8D40-C7E7009C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12804</Words>
  <Characters>72985</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15</cp:revision>
  <cp:lastPrinted>2022-11-03T10:06:00Z</cp:lastPrinted>
  <dcterms:created xsi:type="dcterms:W3CDTF">2022-11-03T13:49:00Z</dcterms:created>
  <dcterms:modified xsi:type="dcterms:W3CDTF">2024-02-06T12:14:00Z</dcterms:modified>
</cp:coreProperties>
</file>