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0720E" w14:textId="47F3C393" w:rsidR="00287AD6" w:rsidRPr="005A553C" w:rsidRDefault="00287AD6" w:rsidP="000E24AE">
      <w:pPr>
        <w:spacing w:after="240" w:line="20" w:lineRule="atLeast"/>
        <w:jc w:val="center"/>
        <w:rPr>
          <w:rFonts w:asciiTheme="minorHAnsi" w:hAnsiTheme="minorHAnsi" w:cstheme="minorHAnsi"/>
          <w:spacing w:val="-4"/>
        </w:rPr>
      </w:pPr>
      <w:bookmarkStart w:id="0" w:name="_GoBack"/>
      <w:r w:rsidRPr="005A553C">
        <w:rPr>
          <w:rFonts w:asciiTheme="minorHAnsi" w:hAnsiTheme="minorHAnsi" w:cstheme="minorHAnsi"/>
          <w:spacing w:val="-4"/>
        </w:rPr>
        <w:t xml:space="preserve">Tabuľka údajov o úpravách ceny v dôsledku zmien nákladov slúži ako vzor pre vyhľadanie </w:t>
      </w:r>
      <w:r w:rsidR="00002E32" w:rsidRPr="005A553C">
        <w:rPr>
          <w:rFonts w:asciiTheme="minorHAnsi" w:hAnsiTheme="minorHAnsi" w:cstheme="minorHAnsi"/>
          <w:spacing w:val="-4"/>
        </w:rPr>
        <w:t xml:space="preserve">  </w:t>
      </w:r>
      <w:r w:rsidRPr="005A553C">
        <w:rPr>
          <w:rFonts w:asciiTheme="minorHAnsi" w:hAnsiTheme="minorHAnsi" w:cstheme="minorHAnsi"/>
          <w:spacing w:val="-4"/>
        </w:rPr>
        <w:t>zdrojov pre výpočet indexov</w:t>
      </w:r>
    </w:p>
    <w:tbl>
      <w:tblPr>
        <w:tblpPr w:leftFromText="141" w:rightFromText="141" w:vertAnchor="text" w:horzAnchor="margin" w:tblpXSpec="center" w:tblpY="136"/>
        <w:tblW w:w="5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0"/>
        <w:gridCol w:w="1417"/>
        <w:gridCol w:w="80"/>
        <w:gridCol w:w="3500"/>
        <w:gridCol w:w="421"/>
        <w:gridCol w:w="1675"/>
        <w:gridCol w:w="46"/>
        <w:gridCol w:w="1208"/>
      </w:tblGrid>
      <w:tr w:rsidR="000E24AE" w:rsidRPr="005A553C" w14:paraId="1CBD6D8C" w14:textId="77777777" w:rsidTr="000E24AE">
        <w:trPr>
          <w:trHeight w:val="246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6A6B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553C">
              <w:rPr>
                <w:rFonts w:asciiTheme="minorHAnsi" w:hAnsiTheme="minorHAnsi" w:cstheme="minorHAnsi"/>
                <w:b/>
                <w:bCs/>
              </w:rPr>
              <w:t>Koeficient; rozsah indexu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A7BF1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553C">
              <w:rPr>
                <w:rFonts w:asciiTheme="minorHAnsi" w:hAnsiTheme="minorHAnsi" w:cstheme="minorHAnsi"/>
                <w:b/>
                <w:bCs/>
              </w:rPr>
              <w:t>Ukazovateľ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83B2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34"/>
              <w:rPr>
                <w:rFonts w:asciiTheme="minorHAnsi" w:hAnsiTheme="minorHAnsi" w:cstheme="minorHAnsi"/>
                <w:b/>
                <w:bCs/>
              </w:rPr>
            </w:pPr>
            <w:r w:rsidRPr="005A553C">
              <w:rPr>
                <w:rFonts w:asciiTheme="minorHAnsi" w:hAnsiTheme="minorHAnsi" w:cstheme="minorHAnsi"/>
                <w:b/>
                <w:bCs/>
              </w:rPr>
              <w:t>Krajina pôvodu; mena indexu</w:t>
            </w:r>
          </w:p>
        </w:tc>
        <w:tc>
          <w:tcPr>
            <w:tcW w:w="19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37E2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rPr>
                <w:rFonts w:asciiTheme="minorHAnsi" w:hAnsiTheme="minorHAnsi" w:cstheme="minorHAnsi"/>
                <w:b/>
                <w:bCs/>
              </w:rPr>
            </w:pPr>
            <w:r w:rsidRPr="005A553C">
              <w:rPr>
                <w:rFonts w:asciiTheme="minorHAnsi" w:hAnsiTheme="minorHAnsi" w:cstheme="minorHAnsi"/>
                <w:b/>
                <w:bCs/>
              </w:rPr>
              <w:t>Zdroj indexu; názov/definícia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A8217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590" w:right="176" w:hanging="553"/>
              <w:rPr>
                <w:rFonts w:asciiTheme="minorHAnsi" w:hAnsiTheme="minorHAnsi" w:cstheme="minorHAnsi"/>
                <w:b/>
                <w:bCs/>
              </w:rPr>
            </w:pPr>
            <w:r w:rsidRPr="005A553C">
              <w:rPr>
                <w:rFonts w:asciiTheme="minorHAnsi" w:hAnsiTheme="minorHAnsi" w:cstheme="minorHAnsi"/>
                <w:b/>
                <w:bCs/>
              </w:rPr>
              <w:t>Hodnota v  uvedenom termíne *</w:t>
            </w:r>
          </w:p>
        </w:tc>
      </w:tr>
      <w:tr w:rsidR="000E24AE" w:rsidRPr="005A553C" w14:paraId="55C061CE" w14:textId="77777777" w:rsidTr="000E24AE">
        <w:trPr>
          <w:trHeight w:val="258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4863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BE1B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D7DE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331E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DED14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553C">
              <w:rPr>
                <w:rFonts w:asciiTheme="minorHAnsi" w:hAnsiTheme="minorHAnsi" w:cstheme="minorHAnsi"/>
                <w:b/>
                <w:bCs/>
              </w:rPr>
              <w:t>Hodnota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CD050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992" w:hanging="872"/>
              <w:rPr>
                <w:rFonts w:asciiTheme="minorHAnsi" w:hAnsiTheme="minorHAnsi" w:cstheme="minorHAnsi"/>
                <w:b/>
                <w:bCs/>
              </w:rPr>
            </w:pPr>
            <w:r w:rsidRPr="005A553C">
              <w:rPr>
                <w:rFonts w:asciiTheme="minorHAnsi" w:hAnsiTheme="minorHAnsi" w:cstheme="minorHAnsi"/>
                <w:b/>
                <w:bCs/>
              </w:rPr>
              <w:t>Dátum</w:t>
            </w:r>
          </w:p>
        </w:tc>
      </w:tr>
      <w:tr w:rsidR="000E24AE" w:rsidRPr="005A553C" w14:paraId="44CFF896" w14:textId="77777777" w:rsidTr="000E24AE">
        <w:trPr>
          <w:trHeight w:val="258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50662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0,10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C2AE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36854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34"/>
              <w:rPr>
                <w:rFonts w:asciiTheme="minorHAnsi" w:hAnsiTheme="minorHAnsi" w:cstheme="minorHAnsi"/>
                <w:b/>
                <w:bCs/>
              </w:rPr>
            </w:pPr>
            <w:r w:rsidRPr="005A55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60D32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Pevný koeficient, ktorý reprezentuje časť nákladov, ktoré nepodliehajú úprave.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51738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992"/>
              <w:rPr>
                <w:rFonts w:asciiTheme="minorHAnsi" w:hAnsiTheme="minorHAnsi" w:cstheme="minorHAnsi"/>
                <w:b/>
                <w:bCs/>
              </w:rPr>
            </w:pPr>
            <w:r w:rsidRPr="005A55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8BA4D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-21"/>
              <w:rPr>
                <w:rFonts w:asciiTheme="minorHAnsi" w:hAnsiTheme="minorHAnsi" w:cstheme="minorHAnsi"/>
                <w:b/>
                <w:bCs/>
              </w:rPr>
            </w:pPr>
            <w:r w:rsidRPr="005A55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0E24AE" w:rsidRPr="005A553C" w14:paraId="1053C85E" w14:textId="77777777" w:rsidTr="000E24AE">
        <w:trPr>
          <w:trHeight w:val="272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05972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0,20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46B24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HICP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050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34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Slovenská republika; €</w:t>
            </w: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8DE8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Zdroj indexu: Štatistický úrad Slovenskej republiky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BC60A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992"/>
              <w:jc w:val="center"/>
              <w:rPr>
                <w:rFonts w:asciiTheme="minorHAnsi" w:hAnsiTheme="minorHAnsi" w:cstheme="minorHAnsi"/>
              </w:rPr>
            </w:pPr>
          </w:p>
          <w:p w14:paraId="21892F6C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rPr>
                <w:rFonts w:asciiTheme="minorHAnsi" w:hAnsiTheme="minorHAnsi" w:cstheme="minorHAnsi"/>
              </w:rPr>
            </w:pPr>
          </w:p>
          <w:p w14:paraId="26ED0825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157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(135,05+136,59+138,31)/3=</w:t>
            </w:r>
            <w:r w:rsidRPr="005A553C">
              <w:rPr>
                <w:rFonts w:asciiTheme="minorHAnsi" w:hAnsiTheme="minorHAnsi" w:cstheme="minorHAnsi"/>
                <w:b/>
              </w:rPr>
              <w:t>136,65</w:t>
            </w:r>
          </w:p>
          <w:p w14:paraId="6E5E4479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1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D406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Január až Marec 2023</w:t>
            </w:r>
          </w:p>
        </w:tc>
      </w:tr>
      <w:tr w:rsidR="000E24AE" w:rsidRPr="005A553C" w14:paraId="6E4C96BF" w14:textId="77777777" w:rsidTr="000E24AE">
        <w:trPr>
          <w:trHeight w:val="493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7DFC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02375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2389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050E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Názov tabuľky: Harmonizované indexy spotrebiteľských cien</w:t>
            </w:r>
          </w:p>
          <w:p w14:paraId="54B3AC19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(priemer roka 2015 = 100)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15E6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D1B9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</w:tr>
      <w:tr w:rsidR="000E24AE" w:rsidRPr="005A553C" w14:paraId="13AE5113" w14:textId="77777777" w:rsidTr="000E24AE">
        <w:trPr>
          <w:trHeight w:val="246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16D9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9473E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E925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FF30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 xml:space="preserve">Weblink: </w:t>
            </w:r>
            <w:hyperlink r:id="rId8" w:history="1">
              <w:r w:rsidRPr="005A553C">
                <w:rPr>
                  <w:rFonts w:asciiTheme="minorHAnsi" w:hAnsiTheme="minorHAnsi" w:cstheme="minorHAnsi"/>
                  <w:color w:val="0000FF"/>
                  <w:u w:val="single"/>
                </w:rPr>
                <w:t>http://slovak.statistics.sk</w:t>
              </w:r>
            </w:hyperlink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D0F7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8F96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</w:tr>
      <w:tr w:rsidR="000E24AE" w:rsidRPr="005A553C" w14:paraId="24B51262" w14:textId="77777777" w:rsidTr="000E24AE">
        <w:trPr>
          <w:trHeight w:val="258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08BE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1566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C29E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1C10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Sledovaný index: Spotrebiteľské ceny úhnom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6488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A39F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</w:tr>
      <w:tr w:rsidR="000E24AE" w:rsidRPr="005A553C" w14:paraId="4631FC91" w14:textId="77777777" w:rsidTr="000E24AE">
        <w:trPr>
          <w:trHeight w:val="204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F0AC0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0,08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C36B9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4248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34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Slovenská republika; €</w:t>
            </w: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D5D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 xml:space="preserve">Zdroj indexu: Štatistický úrad Slovenskej republiky 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EE06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(1,612+1,563+1,531)/3 =</w:t>
            </w:r>
            <w:r w:rsidRPr="005A553C">
              <w:rPr>
                <w:rFonts w:asciiTheme="minorHAnsi" w:hAnsiTheme="minorHAnsi" w:cstheme="minorHAnsi"/>
                <w:b/>
              </w:rPr>
              <w:t>1,569</w:t>
            </w:r>
          </w:p>
        </w:tc>
        <w:tc>
          <w:tcPr>
            <w:tcW w:w="5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095C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Január až Marec 2023</w:t>
            </w:r>
          </w:p>
        </w:tc>
      </w:tr>
      <w:tr w:rsidR="000E24AE" w:rsidRPr="005A553C" w14:paraId="4AF684BD" w14:textId="77777777" w:rsidTr="000E24AE">
        <w:trPr>
          <w:trHeight w:val="204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211E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A3898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D7A4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7FCE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Názov tabuľky: Priemerné ceny pohonných látok v SR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B16B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1675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</w:tr>
      <w:tr w:rsidR="000E24AE" w:rsidRPr="005A553C" w14:paraId="7AF11A43" w14:textId="77777777" w:rsidTr="000E24AE">
        <w:trPr>
          <w:trHeight w:val="204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2AD6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B4E53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A64A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1A28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 xml:space="preserve">Weblink: </w:t>
            </w:r>
            <w:hyperlink r:id="rId9" w:history="1">
              <w:r w:rsidRPr="005A553C">
                <w:rPr>
                  <w:rFonts w:asciiTheme="minorHAnsi" w:hAnsiTheme="minorHAnsi" w:cstheme="minorHAnsi"/>
                  <w:color w:val="0000FF"/>
                  <w:u w:val="single"/>
                </w:rPr>
                <w:t>http://slovak.statistics.sk</w:t>
              </w:r>
            </w:hyperlink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4FFD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867C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</w:tr>
      <w:tr w:rsidR="000E24AE" w:rsidRPr="005A553C" w14:paraId="296337A0" w14:textId="77777777" w:rsidTr="000E24AE">
        <w:trPr>
          <w:trHeight w:val="204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66AB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5801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0CCF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30FF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Sledovaný index: Index spotrebiteľských cien pohonných látok v SR (Nafta v %)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91A3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DC61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</w:tr>
      <w:tr w:rsidR="000E24AE" w:rsidRPr="005A553C" w14:paraId="5ACD4D02" w14:textId="77777777" w:rsidTr="000E24AE">
        <w:trPr>
          <w:trHeight w:val="256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9CC6A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0,62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3EFCD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CMI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5786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34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Slovenská republika; €</w:t>
            </w: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9789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Zdroj indexu: Štatistický úrad Slovenskej republiky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F0CCD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992"/>
              <w:jc w:val="center"/>
              <w:rPr>
                <w:rFonts w:asciiTheme="minorHAnsi" w:hAnsiTheme="minorHAnsi" w:cstheme="minorHAnsi"/>
              </w:rPr>
            </w:pPr>
          </w:p>
          <w:p w14:paraId="6FCB10DA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rPr>
                <w:rFonts w:asciiTheme="minorHAnsi" w:hAnsiTheme="minorHAnsi" w:cstheme="minorHAnsi"/>
              </w:rPr>
            </w:pPr>
          </w:p>
          <w:p w14:paraId="5C52691D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0" w:line="20" w:lineRule="atLeast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 xml:space="preserve">          </w:t>
            </w:r>
          </w:p>
          <w:p w14:paraId="6097695B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0" w:line="20" w:lineRule="atLeast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 xml:space="preserve">           </w:t>
            </w:r>
            <w:r w:rsidRPr="005A553C">
              <w:rPr>
                <w:rFonts w:asciiTheme="minorHAnsi" w:hAnsiTheme="minorHAnsi" w:cstheme="minorHAnsi"/>
                <w:b/>
              </w:rPr>
              <w:t>156,30</w:t>
            </w:r>
          </w:p>
        </w:tc>
        <w:tc>
          <w:tcPr>
            <w:tcW w:w="5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B083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1.Q.2023</w:t>
            </w:r>
          </w:p>
        </w:tc>
      </w:tr>
      <w:tr w:rsidR="000E24AE" w:rsidRPr="005A553C" w14:paraId="7B14B0A5" w14:textId="77777777" w:rsidTr="000E24AE">
        <w:trPr>
          <w:trHeight w:val="493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2124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42CA2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126E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B5B0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 xml:space="preserve">Názov tabuľky: </w:t>
            </w:r>
            <w:r w:rsidRPr="005A553C">
              <w:rPr>
                <w:rFonts w:asciiTheme="minorHAnsi" w:hAnsiTheme="minorHAnsi" w:cstheme="minorHAnsi"/>
                <w:lang w:eastAsia="sk-SK"/>
              </w:rPr>
              <w:t>Indexy cien stavebných prác a materiálov (2015=100)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15D3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2747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</w:tr>
      <w:tr w:rsidR="000E24AE" w:rsidRPr="005A553C" w14:paraId="3D9F8A60" w14:textId="77777777" w:rsidTr="000E24AE">
        <w:trPr>
          <w:trHeight w:val="302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B2AF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8D072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7C54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9754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 xml:space="preserve">Weblink: </w:t>
            </w:r>
            <w:hyperlink r:id="rId10" w:history="1">
              <w:r w:rsidRPr="005A553C">
                <w:rPr>
                  <w:rFonts w:asciiTheme="minorHAnsi" w:hAnsiTheme="minorHAnsi" w:cstheme="minorHAnsi"/>
                  <w:color w:val="0000FF"/>
                  <w:u w:val="single"/>
                </w:rPr>
                <w:t>http://slovak.statistics.sk</w:t>
              </w:r>
            </w:hyperlink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522D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47F7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</w:tr>
      <w:tr w:rsidR="000E24AE" w:rsidRPr="005A553C" w14:paraId="1F853089" w14:textId="77777777" w:rsidTr="000E24AE">
        <w:trPr>
          <w:trHeight w:val="246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5A55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BC2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42E3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EE42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ind w:left="70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</w:rPr>
              <w:t>Sledovaný index: Indexy stavebných materiálov (výrobné ceny)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341E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2A16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</w:tc>
      </w:tr>
      <w:tr w:rsidR="000E24AE" w:rsidRPr="005A553C" w14:paraId="6E52C72C" w14:textId="77777777" w:rsidTr="000E24AE">
        <w:trPr>
          <w:gridAfter w:val="4"/>
          <w:wAfter w:w="1600" w:type="pct"/>
          <w:trHeight w:val="246"/>
        </w:trPr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A3C77E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91F30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D9E5C4A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75347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0E24AE" w:rsidRPr="005A553C" w14:paraId="34820D09" w14:textId="77777777" w:rsidTr="000E24AE">
        <w:trPr>
          <w:gridAfter w:val="1"/>
          <w:wAfter w:w="577" w:type="pct"/>
          <w:trHeight w:val="839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</w:tcPr>
          <w:p w14:paraId="78AFD0E7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before="120" w:after="240" w:line="20" w:lineRule="atLea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6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0BEE19BE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before="120" w:after="240" w:line="20" w:lineRule="atLeast"/>
              <w:ind w:firstLine="38"/>
              <w:rPr>
                <w:rFonts w:asciiTheme="minorHAnsi" w:hAnsiTheme="minorHAnsi" w:cstheme="minorHAnsi"/>
                <w:bCs/>
              </w:rPr>
            </w:pPr>
            <w:r w:rsidRPr="005A553C">
              <w:rPr>
                <w:rFonts w:asciiTheme="minorHAnsi" w:hAnsiTheme="minorHAnsi" w:cstheme="minorHAnsi"/>
                <w:bCs/>
              </w:rPr>
              <w:t>Dátum: ..................................................</w:t>
            </w:r>
          </w:p>
          <w:p w14:paraId="485E502F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before="120" w:after="240" w:line="20" w:lineRule="atLeast"/>
              <w:rPr>
                <w:rFonts w:asciiTheme="minorHAnsi" w:hAnsiTheme="minorHAnsi" w:cstheme="minorHAnsi"/>
                <w:bCs/>
              </w:rPr>
            </w:pPr>
          </w:p>
          <w:p w14:paraId="12B12277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before="120" w:after="240" w:line="20" w:lineRule="atLeast"/>
              <w:rPr>
                <w:rFonts w:asciiTheme="minorHAnsi" w:hAnsiTheme="minorHAnsi" w:cstheme="minorHAnsi"/>
                <w:bCs/>
              </w:rPr>
            </w:pPr>
          </w:p>
          <w:p w14:paraId="653703D2" w14:textId="0A87B180" w:rsidR="000E24AE" w:rsidRPr="005A553C" w:rsidRDefault="000E24AE" w:rsidP="000E24AE">
            <w:pPr>
              <w:keepLines/>
              <w:tabs>
                <w:tab w:val="right" w:pos="9214"/>
              </w:tabs>
              <w:spacing w:before="120" w:after="240" w:line="20" w:lineRule="atLeast"/>
              <w:rPr>
                <w:rFonts w:asciiTheme="minorHAnsi" w:hAnsiTheme="minorHAnsi" w:cstheme="minorHAnsi"/>
                <w:bCs/>
              </w:rPr>
            </w:pPr>
            <w:r w:rsidRPr="005A553C">
              <w:rPr>
                <w:rFonts w:asciiTheme="minorHAnsi" w:hAnsiTheme="minorHAnsi" w:cstheme="minorHAnsi"/>
                <w:bCs/>
              </w:rPr>
              <w:t>Podpis: ..........................................................</w:t>
            </w:r>
          </w:p>
          <w:tbl>
            <w:tblPr>
              <w:tblpPr w:leftFromText="141" w:rightFromText="141" w:vertAnchor="text" w:horzAnchor="page" w:tblpX="1" w:tblpY="838"/>
              <w:tblW w:w="2117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79"/>
            </w:tblGrid>
            <w:tr w:rsidR="000E24AE" w:rsidRPr="005A553C" w14:paraId="661DEAD7" w14:textId="77777777" w:rsidTr="00AC087E">
              <w:trPr>
                <w:trHeight w:val="65"/>
              </w:trPr>
              <w:tc>
                <w:tcPr>
                  <w:tcW w:w="21179" w:type="dxa"/>
                  <w:shd w:val="clear" w:color="auto" w:fill="FFFFFF"/>
                  <w:vAlign w:val="center"/>
                  <w:hideMark/>
                </w:tcPr>
                <w:p w14:paraId="0A9A8CF3" w14:textId="77777777" w:rsidR="000E24AE" w:rsidRPr="005A553C" w:rsidRDefault="000E24AE" w:rsidP="000E24AE">
                  <w:pPr>
                    <w:spacing w:after="240" w:line="20" w:lineRule="atLeast"/>
                    <w:rPr>
                      <w:rFonts w:asciiTheme="minorHAnsi" w:hAnsiTheme="minorHAnsi" w:cstheme="minorHAnsi"/>
                      <w:lang w:eastAsia="sk-SK"/>
                    </w:rPr>
                  </w:pPr>
                </w:p>
              </w:tc>
            </w:tr>
          </w:tbl>
          <w:p w14:paraId="24C72C86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rPr>
                <w:rFonts w:asciiTheme="minorHAnsi" w:hAnsiTheme="minorHAnsi" w:cstheme="minorHAnsi"/>
                <w:bCs/>
              </w:rPr>
            </w:pPr>
            <w:r w:rsidRPr="005A553C">
              <w:rPr>
                <w:rFonts w:asciiTheme="minorHAnsi" w:hAnsiTheme="minorHAnsi" w:cstheme="minorHAnsi"/>
                <w:bCs/>
              </w:rPr>
              <w:t>(meno a priezvisko osoby alebo osôb oprávnených podpisovať v mene uchádzača)</w:t>
            </w:r>
          </w:p>
          <w:p w14:paraId="0803D22C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rPr>
                <w:rFonts w:asciiTheme="minorHAnsi" w:hAnsiTheme="minorHAnsi" w:cstheme="minorHAnsi"/>
              </w:rPr>
            </w:pPr>
          </w:p>
          <w:p w14:paraId="15A28C06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rPr>
                <w:rFonts w:asciiTheme="minorHAnsi" w:hAnsiTheme="minorHAnsi" w:cstheme="minorHAnsi"/>
              </w:rPr>
            </w:pPr>
          </w:p>
          <w:p w14:paraId="17E271D6" w14:textId="77777777" w:rsidR="000E24AE" w:rsidRPr="005A553C" w:rsidRDefault="000E24AE" w:rsidP="000E24AE">
            <w:pPr>
              <w:spacing w:after="240" w:line="20" w:lineRule="atLeast"/>
              <w:rPr>
                <w:rFonts w:asciiTheme="minorHAnsi" w:hAnsiTheme="minorHAnsi" w:cstheme="minorHAnsi"/>
              </w:rPr>
            </w:pPr>
          </w:p>
          <w:p w14:paraId="6535E64C" w14:textId="77777777" w:rsidR="000E24AE" w:rsidRPr="005A553C" w:rsidRDefault="000E24AE" w:rsidP="000E24AE">
            <w:pPr>
              <w:keepNext/>
              <w:keepLines/>
              <w:tabs>
                <w:tab w:val="left" w:pos="992"/>
                <w:tab w:val="left" w:pos="1080"/>
                <w:tab w:val="left" w:pos="1440"/>
              </w:tabs>
              <w:spacing w:after="240" w:line="20" w:lineRule="atLeast"/>
              <w:jc w:val="center"/>
              <w:outlineLvl w:val="2"/>
              <w:rPr>
                <w:rFonts w:asciiTheme="minorHAnsi" w:hAnsiTheme="minorHAnsi" w:cstheme="minorHAnsi"/>
                <w:b/>
                <w:caps/>
                <w:snapToGrid w:val="0"/>
                <w:kern w:val="28"/>
              </w:rPr>
            </w:pPr>
          </w:p>
          <w:p w14:paraId="5FD0DD5B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both"/>
              <w:rPr>
                <w:rFonts w:asciiTheme="minorHAnsi" w:hAnsiTheme="minorHAnsi" w:cstheme="minorHAnsi"/>
              </w:rPr>
            </w:pPr>
            <w:r w:rsidRPr="005A553C">
              <w:rPr>
                <w:rFonts w:asciiTheme="minorHAnsi" w:hAnsiTheme="minorHAnsi" w:cstheme="minorHAnsi"/>
                <w:b/>
                <w:bCs/>
              </w:rPr>
              <w:t xml:space="preserve">Pozn. * </w:t>
            </w:r>
            <w:r w:rsidRPr="005A553C">
              <w:rPr>
                <w:rFonts w:asciiTheme="minorHAnsi" w:hAnsiTheme="minorHAnsi" w:cstheme="minorHAnsi"/>
                <w:bCs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6AC8CD8A" w14:textId="77777777" w:rsidR="000E24AE" w:rsidRPr="005A553C" w:rsidRDefault="000E24AE" w:rsidP="000E24AE">
            <w:pPr>
              <w:keepLines/>
              <w:tabs>
                <w:tab w:val="right" w:pos="9214"/>
              </w:tabs>
              <w:spacing w:after="240" w:line="2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5F47EF5" w14:textId="77777777" w:rsidR="00287AD6" w:rsidRPr="005A553C" w:rsidRDefault="00287AD6" w:rsidP="00503530">
      <w:pPr>
        <w:tabs>
          <w:tab w:val="left" w:pos="540"/>
        </w:tabs>
        <w:spacing w:after="240" w:line="20" w:lineRule="atLeast"/>
        <w:ind w:left="1416" w:hanging="849"/>
        <w:jc w:val="both"/>
        <w:rPr>
          <w:rFonts w:asciiTheme="minorHAnsi" w:hAnsiTheme="minorHAnsi" w:cstheme="minorHAnsi"/>
          <w:spacing w:val="-4"/>
        </w:rPr>
      </w:pPr>
    </w:p>
    <w:p w14:paraId="6AA24D0A" w14:textId="77777777" w:rsidR="00287AD6" w:rsidRPr="005A553C" w:rsidRDefault="00287AD6" w:rsidP="00503530">
      <w:pPr>
        <w:tabs>
          <w:tab w:val="left" w:pos="540"/>
        </w:tabs>
        <w:spacing w:after="240" w:line="20" w:lineRule="atLeast"/>
        <w:ind w:left="1416" w:hanging="849"/>
        <w:jc w:val="both"/>
        <w:rPr>
          <w:rFonts w:asciiTheme="minorHAnsi" w:hAnsiTheme="minorHAnsi" w:cstheme="minorHAnsi"/>
          <w:spacing w:val="-4"/>
        </w:rPr>
      </w:pPr>
    </w:p>
    <w:p w14:paraId="640B25F2" w14:textId="3C0E374F" w:rsidR="00287AD6" w:rsidRPr="005A553C" w:rsidRDefault="00287AD6" w:rsidP="00503530">
      <w:pPr>
        <w:tabs>
          <w:tab w:val="left" w:pos="540"/>
        </w:tabs>
        <w:spacing w:after="240" w:line="20" w:lineRule="atLeast"/>
        <w:ind w:left="1416" w:hanging="849"/>
        <w:jc w:val="both"/>
        <w:rPr>
          <w:rFonts w:asciiTheme="minorHAnsi" w:hAnsiTheme="minorHAnsi" w:cstheme="minorHAnsi"/>
          <w:spacing w:val="-4"/>
        </w:rPr>
      </w:pPr>
    </w:p>
    <w:p w14:paraId="724E4162" w14:textId="43CB28E0" w:rsidR="00287AD6" w:rsidRPr="005A553C" w:rsidRDefault="00287AD6" w:rsidP="00503530">
      <w:pPr>
        <w:tabs>
          <w:tab w:val="left" w:pos="540"/>
        </w:tabs>
        <w:spacing w:after="240" w:line="20" w:lineRule="atLeast"/>
        <w:jc w:val="both"/>
        <w:rPr>
          <w:rFonts w:asciiTheme="minorHAnsi" w:hAnsiTheme="minorHAnsi" w:cstheme="minorHAnsi"/>
          <w:spacing w:val="-4"/>
        </w:rPr>
      </w:pPr>
    </w:p>
    <w:p w14:paraId="54E470CD" w14:textId="77777777" w:rsidR="00287AD6" w:rsidRPr="005A553C" w:rsidRDefault="00287AD6" w:rsidP="00503530">
      <w:pPr>
        <w:tabs>
          <w:tab w:val="left" w:pos="540"/>
        </w:tabs>
        <w:spacing w:after="240" w:line="20" w:lineRule="atLeast"/>
        <w:jc w:val="both"/>
        <w:rPr>
          <w:rFonts w:asciiTheme="minorHAnsi" w:hAnsiTheme="minorHAnsi" w:cstheme="minorHAnsi"/>
          <w:spacing w:val="-4"/>
        </w:rPr>
      </w:pPr>
    </w:p>
    <w:p w14:paraId="74697CE8" w14:textId="4F0DC851" w:rsidR="00D55D9A" w:rsidRPr="005A553C" w:rsidRDefault="00D55D9A" w:rsidP="00503530">
      <w:pPr>
        <w:tabs>
          <w:tab w:val="left" w:pos="540"/>
        </w:tabs>
        <w:spacing w:after="240" w:line="20" w:lineRule="atLeast"/>
        <w:ind w:left="1416" w:hanging="849"/>
        <w:jc w:val="both"/>
        <w:rPr>
          <w:rFonts w:asciiTheme="minorHAnsi" w:hAnsiTheme="minorHAnsi" w:cstheme="minorHAnsi"/>
          <w:spacing w:val="-4"/>
        </w:rPr>
      </w:pPr>
    </w:p>
    <w:bookmarkEnd w:id="0"/>
    <w:p w14:paraId="7C748E48" w14:textId="77777777" w:rsidR="00CC6868" w:rsidRPr="005A553C" w:rsidRDefault="002A6774" w:rsidP="00503530">
      <w:pPr>
        <w:spacing w:after="240" w:line="20" w:lineRule="atLeast"/>
        <w:rPr>
          <w:rFonts w:asciiTheme="minorHAnsi" w:hAnsiTheme="minorHAnsi" w:cstheme="minorHAnsi"/>
        </w:rPr>
      </w:pPr>
    </w:p>
    <w:sectPr w:rsidR="00CC6868" w:rsidRPr="005A553C" w:rsidSect="000E24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D2966" w14:textId="77777777" w:rsidR="002A6774" w:rsidRDefault="002A6774" w:rsidP="00EB3527">
      <w:pPr>
        <w:spacing w:after="0" w:line="240" w:lineRule="auto"/>
      </w:pPr>
      <w:r>
        <w:separator/>
      </w:r>
    </w:p>
  </w:endnote>
  <w:endnote w:type="continuationSeparator" w:id="0">
    <w:p w14:paraId="3F7EED16" w14:textId="77777777" w:rsidR="002A6774" w:rsidRDefault="002A6774" w:rsidP="00EB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3CBB9" w14:textId="77777777" w:rsidR="00DB5078" w:rsidRDefault="00DB507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D4721" w14:textId="77777777" w:rsidR="00DB5078" w:rsidRDefault="00DB507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EDECB" w14:textId="77777777" w:rsidR="00DB5078" w:rsidRDefault="00DB50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C0C0C" w14:textId="77777777" w:rsidR="002A6774" w:rsidRDefault="002A6774" w:rsidP="00EB3527">
      <w:pPr>
        <w:spacing w:after="0" w:line="240" w:lineRule="auto"/>
      </w:pPr>
      <w:r>
        <w:separator/>
      </w:r>
    </w:p>
  </w:footnote>
  <w:footnote w:type="continuationSeparator" w:id="0">
    <w:p w14:paraId="7717FC4C" w14:textId="77777777" w:rsidR="002A6774" w:rsidRDefault="002A6774" w:rsidP="00EB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C789A" w14:textId="77777777" w:rsidR="00DB5078" w:rsidRDefault="00DB507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C51CE" w14:textId="1DE4D0CD" w:rsidR="00EB3527" w:rsidRDefault="00DB5078" w:rsidP="00EB3527">
    <w:pPr>
      <w:pStyle w:val="Hlavika"/>
      <w:rPr>
        <w:rFonts w:ascii="Arial" w:hAnsi="Arial" w:cs="Arial"/>
        <w:bCs/>
        <w:sz w:val="16"/>
        <w:szCs w:val="16"/>
      </w:rPr>
    </w:pPr>
    <w:r w:rsidRPr="00DB5078">
      <w:rPr>
        <w:rFonts w:ascii="Arial" w:hAnsi="Arial" w:cs="Arial"/>
        <w:bCs/>
        <w:sz w:val="20"/>
        <w:szCs w:val="24"/>
      </w:rPr>
      <w:t>Oprava diaľničného mosta ev. č. D1-073 Hlohovec, pravý most</w:t>
    </w:r>
    <w:r w:rsidRPr="00DB5078">
      <w:rPr>
        <w:rFonts w:ascii="Arial" w:hAnsi="Arial" w:cs="Arial"/>
        <w:bCs/>
        <w:sz w:val="12"/>
        <w:szCs w:val="16"/>
      </w:rPr>
      <w:t xml:space="preserve"> </w:t>
    </w:r>
  </w:p>
  <w:p w14:paraId="535AFF29" w14:textId="28350247" w:rsidR="00EB3527" w:rsidRPr="003C5201" w:rsidRDefault="00EB3527" w:rsidP="00EB3527">
    <w:pPr>
      <w:pStyle w:val="Hlavika"/>
    </w:pPr>
    <w:r>
      <w:t>Príloha č. 7 k Zmluve o dielo</w:t>
    </w:r>
  </w:p>
  <w:p w14:paraId="418CCB7B" w14:textId="77777777" w:rsidR="00EB3527" w:rsidRDefault="00EB352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19F9B" w14:textId="77777777" w:rsidR="00DB5078" w:rsidRDefault="00DB507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776DC"/>
    <w:rsid w:val="00092D87"/>
    <w:rsid w:val="000B5E90"/>
    <w:rsid w:val="000C3A0A"/>
    <w:rsid w:val="000C599A"/>
    <w:rsid w:val="000E24AE"/>
    <w:rsid w:val="000F03A1"/>
    <w:rsid w:val="000F7971"/>
    <w:rsid w:val="00122080"/>
    <w:rsid w:val="00134808"/>
    <w:rsid w:val="00154FAF"/>
    <w:rsid w:val="0016469F"/>
    <w:rsid w:val="001851FB"/>
    <w:rsid w:val="00194AA3"/>
    <w:rsid w:val="001D44FB"/>
    <w:rsid w:val="001F6E12"/>
    <w:rsid w:val="00206324"/>
    <w:rsid w:val="002213A5"/>
    <w:rsid w:val="00233194"/>
    <w:rsid w:val="00287AD6"/>
    <w:rsid w:val="002A6774"/>
    <w:rsid w:val="002E34D7"/>
    <w:rsid w:val="0031174F"/>
    <w:rsid w:val="0031459B"/>
    <w:rsid w:val="003448F0"/>
    <w:rsid w:val="003620BA"/>
    <w:rsid w:val="00373F39"/>
    <w:rsid w:val="00381ADF"/>
    <w:rsid w:val="00384924"/>
    <w:rsid w:val="003940EB"/>
    <w:rsid w:val="003C5CC6"/>
    <w:rsid w:val="003F7098"/>
    <w:rsid w:val="00405256"/>
    <w:rsid w:val="0043228A"/>
    <w:rsid w:val="00432754"/>
    <w:rsid w:val="004456F2"/>
    <w:rsid w:val="00463D6F"/>
    <w:rsid w:val="00470D3B"/>
    <w:rsid w:val="0049283D"/>
    <w:rsid w:val="004B0D73"/>
    <w:rsid w:val="004E19F5"/>
    <w:rsid w:val="00500954"/>
    <w:rsid w:val="00503530"/>
    <w:rsid w:val="0055228A"/>
    <w:rsid w:val="005A553C"/>
    <w:rsid w:val="005B11DF"/>
    <w:rsid w:val="005B6361"/>
    <w:rsid w:val="005C4781"/>
    <w:rsid w:val="005D2CE3"/>
    <w:rsid w:val="005D2F40"/>
    <w:rsid w:val="00664CC1"/>
    <w:rsid w:val="00680A18"/>
    <w:rsid w:val="0069599E"/>
    <w:rsid w:val="006C43E0"/>
    <w:rsid w:val="006F132C"/>
    <w:rsid w:val="00720D9E"/>
    <w:rsid w:val="00732551"/>
    <w:rsid w:val="007560F9"/>
    <w:rsid w:val="00770E35"/>
    <w:rsid w:val="007A6CE5"/>
    <w:rsid w:val="007D3A0B"/>
    <w:rsid w:val="007D531B"/>
    <w:rsid w:val="007D54EE"/>
    <w:rsid w:val="0081447F"/>
    <w:rsid w:val="00851DA7"/>
    <w:rsid w:val="008649AA"/>
    <w:rsid w:val="00884D53"/>
    <w:rsid w:val="008C0AEF"/>
    <w:rsid w:val="008C7A17"/>
    <w:rsid w:val="008E2C6E"/>
    <w:rsid w:val="008E7A6E"/>
    <w:rsid w:val="008F2B53"/>
    <w:rsid w:val="008F46A3"/>
    <w:rsid w:val="009313A6"/>
    <w:rsid w:val="009407B8"/>
    <w:rsid w:val="0096022E"/>
    <w:rsid w:val="009610D6"/>
    <w:rsid w:val="00974A49"/>
    <w:rsid w:val="0097505D"/>
    <w:rsid w:val="009A0217"/>
    <w:rsid w:val="00A52684"/>
    <w:rsid w:val="00AA2F00"/>
    <w:rsid w:val="00AD0370"/>
    <w:rsid w:val="00AD7E36"/>
    <w:rsid w:val="00AE2481"/>
    <w:rsid w:val="00B265B3"/>
    <w:rsid w:val="00B27A66"/>
    <w:rsid w:val="00B441FC"/>
    <w:rsid w:val="00B51D75"/>
    <w:rsid w:val="00B62FF1"/>
    <w:rsid w:val="00C20841"/>
    <w:rsid w:val="00C340F4"/>
    <w:rsid w:val="00C349BA"/>
    <w:rsid w:val="00C418AA"/>
    <w:rsid w:val="00C50BAC"/>
    <w:rsid w:val="00C50F76"/>
    <w:rsid w:val="00C567D2"/>
    <w:rsid w:val="00CD644F"/>
    <w:rsid w:val="00CE2474"/>
    <w:rsid w:val="00D5527F"/>
    <w:rsid w:val="00D55D9A"/>
    <w:rsid w:val="00D67598"/>
    <w:rsid w:val="00D74B22"/>
    <w:rsid w:val="00D81AB3"/>
    <w:rsid w:val="00DB5078"/>
    <w:rsid w:val="00DC754C"/>
    <w:rsid w:val="00DD151B"/>
    <w:rsid w:val="00DD233E"/>
    <w:rsid w:val="00E22EBF"/>
    <w:rsid w:val="00E4179E"/>
    <w:rsid w:val="00E46742"/>
    <w:rsid w:val="00E737EB"/>
    <w:rsid w:val="00EB3527"/>
    <w:rsid w:val="00EE244C"/>
    <w:rsid w:val="00EF560A"/>
    <w:rsid w:val="00F11776"/>
    <w:rsid w:val="00F37D8D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B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352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B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352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3644-BD59-4C38-AD74-0F136392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Lajková Barbora</cp:lastModifiedBy>
  <cp:revision>6</cp:revision>
  <cp:lastPrinted>2022-07-14T08:34:00Z</cp:lastPrinted>
  <dcterms:created xsi:type="dcterms:W3CDTF">2023-05-31T10:51:00Z</dcterms:created>
  <dcterms:modified xsi:type="dcterms:W3CDTF">2024-02-08T13:07:00Z</dcterms:modified>
</cp:coreProperties>
</file>