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C2" w:rsidRPr="008E22C2" w:rsidRDefault="008E22C2" w:rsidP="008E22C2">
      <w:pPr>
        <w:ind w:left="284"/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8E22C2" w:rsidRDefault="008E22C2" w:rsidP="008E22C2">
      <w:pPr>
        <w:ind w:left="284"/>
        <w:jc w:val="center"/>
        <w:rPr>
          <w:rFonts w:ascii="Arial Narrow" w:hAnsi="Arial Narrow" w:cs="Arial"/>
          <w:b/>
          <w:sz w:val="28"/>
          <w:szCs w:val="28"/>
        </w:rPr>
      </w:pPr>
      <w:r w:rsidRPr="008E22C2">
        <w:rPr>
          <w:rFonts w:ascii="Arial Narrow" w:hAnsi="Arial Narrow"/>
          <w:b/>
          <w:color w:val="000000" w:themeColor="text1"/>
          <w:sz w:val="28"/>
          <w:szCs w:val="28"/>
        </w:rPr>
        <w:t xml:space="preserve">Časť predmetu zákazky č. 2 - </w:t>
      </w:r>
      <w:r w:rsidRPr="008E22C2">
        <w:rPr>
          <w:rFonts w:ascii="Arial Narrow" w:hAnsi="Arial Narrow" w:cs="Arial"/>
          <w:b/>
          <w:sz w:val="28"/>
          <w:szCs w:val="28"/>
        </w:rPr>
        <w:t>Bezpilotné lietadlo na operatívne použitie pri zhoršených poveternostných podmienkach</w:t>
      </w:r>
    </w:p>
    <w:p w:rsidR="008E22C2" w:rsidRPr="008E22C2" w:rsidRDefault="008E22C2" w:rsidP="008E22C2">
      <w:pPr>
        <w:ind w:left="284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8E22C2" w:rsidRPr="00676839" w:rsidRDefault="00676839" w:rsidP="008E22C2">
      <w:pPr>
        <w:ind w:left="284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676839">
        <w:rPr>
          <w:rFonts w:ascii="Arial Narrow" w:hAnsi="Arial Narrow"/>
          <w:color w:val="000000"/>
          <w:sz w:val="22"/>
          <w:szCs w:val="22"/>
          <w:lang w:bidi="sk-SK"/>
        </w:rPr>
        <w:t>Bezpilotné lietadlá budú slúžiť na plnenie úloh MV SR a PPZ s funkcionalitou napr. operatívneho nasadenia, pátrania po hľadaných osobách alebo nezvestných osobách. Bezpilotný letecký systém bude využívaný v najnáročnejších podmienkach a bude obsluhovaný vyškolenými príslušníkmi MV SR A PPZ. Bezpilotné lietadlo musí byť vybavené systémami včasného varovania blízkosti prekážok a záložnými systémami pre zvýšenie bezpečnosti letu bezpilotného lietadla</w:t>
      </w:r>
      <w:r w:rsidR="008E22C2" w:rsidRPr="00676839">
        <w:rPr>
          <w:rFonts w:ascii="Arial Narrow" w:hAnsi="Arial Narrow"/>
          <w:bCs/>
          <w:color w:val="000000" w:themeColor="text1"/>
          <w:sz w:val="22"/>
          <w:szCs w:val="22"/>
        </w:rPr>
        <w:t>.</w:t>
      </w:r>
    </w:p>
    <w:p w:rsidR="008E22C2" w:rsidRDefault="008E22C2" w:rsidP="008E22C2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118"/>
        <w:gridCol w:w="56"/>
        <w:gridCol w:w="1857"/>
        <w:gridCol w:w="1914"/>
        <w:gridCol w:w="3119"/>
      </w:tblGrid>
      <w:tr w:rsidR="000D50C6" w:rsidRPr="004F6DBA" w:rsidTr="000100C1">
        <w:trPr>
          <w:trHeight w:val="565"/>
        </w:trPr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0D50C6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</w:p>
          <w:p w:rsidR="000D50C6" w:rsidRPr="000D50C6" w:rsidRDefault="000D50C6" w:rsidP="00C27982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0D50C6">
              <w:rPr>
                <w:rFonts w:ascii="Arial Narrow" w:hAnsi="Arial Narrow"/>
                <w:b/>
                <w:color w:val="FF0000"/>
                <w:sz w:val="32"/>
                <w:szCs w:val="32"/>
              </w:rPr>
              <w:t>Celkový počet kusov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AE46AC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3</w:t>
            </w:r>
            <w:bookmarkStart w:id="0" w:name="_GoBack"/>
            <w:bookmarkEnd w:id="0"/>
            <w:r w:rsidR="000D50C6" w:rsidRPr="000D50C6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ks</w:t>
            </w:r>
          </w:p>
        </w:tc>
      </w:tr>
      <w:tr w:rsidR="000D50C6" w:rsidRPr="004F6DBA" w:rsidTr="00CE60E1">
        <w:trPr>
          <w:trHeight w:val="441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0D50C6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</w:p>
        </w:tc>
      </w:tr>
      <w:tr w:rsidR="000D50C6" w:rsidRPr="004F6DBA" w:rsidTr="008E22C2">
        <w:trPr>
          <w:trHeight w:val="441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682A4C" w:rsidRDefault="000D50C6" w:rsidP="000D50C6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Zloženie a požiadavky na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1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(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j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eden)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kus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:</w:t>
            </w:r>
          </w:p>
          <w:p w:rsidR="000D50C6" w:rsidRPr="004F6DBA" w:rsidRDefault="000D50C6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41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39" w:rsidRPr="00676839" w:rsidRDefault="00676839" w:rsidP="00676839">
            <w:pPr>
              <w:ind w:left="284"/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color w:val="000000"/>
                <w:sz w:val="22"/>
                <w:szCs w:val="22"/>
                <w:lang w:bidi="sk-SK"/>
              </w:rPr>
              <w:t>Bezpilotné lietadlá budú slúžiť na plnenie úloh MV SR a PPZ s funkcionalitou napr. operatívneho nasadenia, pátrania po hľadaných osobách alebo nezvestných osobách. Bezpilotný letecký systém bude využívaný v najnáročnejších podmienkach a bude obsluhovaný vyškolenými príslušníkmi MV SR A PPZ. Bezpilotné lietadlo musí byť vybavené systémami včasného varovania blízkosti prekážok a záložnými systémami pre zvýšenie bezpečnosti letu bezpilotného lietadla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.</w:t>
            </w:r>
          </w:p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ponúkaného tovaru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8E22C2" w:rsidRPr="004F6DBA" w:rsidTr="008E22C2">
        <w:trPr>
          <w:trHeight w:val="55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tovaru/parameter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8E3CE1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7982" w:rsidRPr="004F6DBA" w:rsidTr="00C27982">
        <w:trPr>
          <w:trHeight w:val="536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7982" w:rsidRPr="00676839" w:rsidRDefault="00C27982" w:rsidP="00C27982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 xml:space="preserve">1. </w:t>
            </w:r>
            <w:r w:rsidRPr="0067683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Bezpilotné lietadlo na operatívne použitie pri zhoršených poveternostných podmienkach: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7982" w:rsidRPr="004F6DBA" w:rsidRDefault="00C27982" w:rsidP="00C27982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Výrobca:</w:t>
            </w: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DE74B3" w:rsidRDefault="008E22C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8E22C2" w:rsidRPr="00DE74B3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8E22C2" w:rsidRPr="00DE74B3" w:rsidRDefault="008E22C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Typové označenie: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DE74B3" w:rsidRDefault="008E22C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8E22C2" w:rsidRPr="00DE74B3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8E22C2" w:rsidRPr="00DE74B3" w:rsidRDefault="008E22C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8E22C2" w:rsidRPr="004F6DBA" w:rsidRDefault="008E22C2" w:rsidP="00C2798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Rozmery rozloženého (na let):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500x600x250 mm (D × Š × V)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Rozmery zloženého (na transport):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400x250x200 mm (D × Š × V)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Diagonálny rázvor: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700 mm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Maximálna vzletová hmotnosť: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 3 kg do 4 kg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min: 2,4 a 5,8 GHz s automatickým prepínaním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Presnosť vstavaného systému polohovania (RTK):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max.2 cm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Odolnosť voči max. rýchlosti vetru: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 m/s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čas letu (bezvetrie):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41 min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Stupeň ochrany: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IP55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Používané satelitné navigačné systémy: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GPS, Galileo, GLONASS, </w:t>
            </w:r>
            <w:proofErr w:type="spellStart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Beidou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prevádzkovej teploty: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min. od 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-20 ° C do 50 ° 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karta - 2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128 GB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676839" w:rsidP="00C27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Systémy včasného varovania bezpilotného lietadla blízkosti prekážok pre zvýšenie bezpečnosti letu: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8E22C2" w:rsidP="009B615E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6 párov optických snímačov  s dosah snímania prekážok vo všetkých štyroch stranách lietadla: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1 do 30 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6 infračervených senzorov s dosah snímania prekážok vo všetkých štyroch stranách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0,5 do 9 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Zorné pole infračervených senzorov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30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lastRenderedPageBreak/>
              <w:t xml:space="preserve">Prijímač ADS-B 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bezpilotného lietadla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Záložné systémy bezpilotného lietadla pre zvýšenie bezpečnosti letu: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E25583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Zdvojené senzory letu </w:t>
            </w:r>
            <w:proofErr w:type="spellStart"/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>Inerciálna</w:t>
            </w:r>
            <w:proofErr w:type="spellEnd"/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meracia jednotka (IMU), barometer, kompas, systém polohovania (RTK + GNSS)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Default="00676839" w:rsidP="00E25583">
            <w:pPr>
              <w:jc w:val="center"/>
            </w:pPr>
            <w:r w:rsidRPr="0005731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Zálohovanie riadiaceho signálu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Default="00676839" w:rsidP="00E25583">
            <w:pPr>
              <w:jc w:val="center"/>
            </w:pPr>
            <w:r w:rsidRPr="0005731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Dva inteligentné letové akumulátory pre bezpečné pristátie na jeden akumulátor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Zálohovanie prenosového spojenia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Núdzové pristátie s jedným nepracujúcim motorom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FPV kamera bezpilotného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>Protikolízny</w:t>
            </w:r>
            <w:proofErr w:type="spellEnd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 maják </w:t>
            </w: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bezpilotného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350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27982" w:rsidRDefault="00C27982" w:rsidP="00676839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Vstavaný </w:t>
            </w:r>
            <w:proofErr w:type="spellStart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>multikamerový</w:t>
            </w:r>
            <w:proofErr w:type="spellEnd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 systém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4F6DBA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350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zoomovacej</w:t>
            </w:r>
            <w:proofErr w:type="spellEnd"/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 kamery: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3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/ 2 "CMOS, 48 MP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 objektívu: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v rozmedzí 21 - 75 mm (ekvivalent: 113 - 405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 objektívu: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v rozmedzí f/2,8 - f/4,2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 objektívu: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5 m až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Elektronická rýchlosť uzávierky: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1/8000 - 1/2 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100 - 25600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Veľkosť fotografie: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8000 × 6000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C27982" w:rsidP="00676839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širokouhlej kamery: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E2558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/ 2 "CMOS, 12 MP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Objektív: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DFOV: 84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4,5 mm (ekvivalent: 24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f / 2,8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1 m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Rýchlosť uzávierky: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– 8 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– 25600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Veľkosť fotografie: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4000 x 3000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termálnej kamery: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Nechladený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VOx</w:t>
            </w:r>
            <w:proofErr w:type="spellEnd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mikrobolometer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Diagonálne zorné pole optiky (DFOV)::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61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 optiky: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9,1 mm (ekvivalent: 40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 optiky: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f/1,0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 optiky: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5 m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min.1280 x 1024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fotografie: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min.1280 x 1024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Metóda merania teploty: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bodová a plošná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scény: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-40 ° C až 150 ° C (vysoký zisk)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-40 ° C  až 550 ° C (nízky zisk)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Teplotný alarm: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podporovaný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laserového merača vzdialenosti: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Vlnová dĺžka: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 rozmedzí 808 -980 nm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merania: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3m do 1200m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na zvislý povrch s priemerom ≥12m a rýchlosťou odrazu 20%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Presnosť merania: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max. ± (0.2 m + vzdialenosť od zvislej plochy×0.15%)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gimbalu</w:t>
            </w:r>
            <w:proofErr w:type="spellEnd"/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Systém stabilizácie: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3 - osový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uhlových vibrácií: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± 0,01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Ovládateľný rozsah pohybu: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klopenie: min. -120 ° až + 45 °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otáčanie: min. ± 90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Mechanický rozsah pohybu: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klopenie: min. -135 ° až + 60 °</w:t>
            </w:r>
          </w:p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otáčanie: min. ± 105 °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klonenie: min. ± 45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Inteligentný letový akumulátor vyhrievaný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5500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CE083F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Energia: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130 Wh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E083F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Inteligentný diaľkový ovládač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Výrobca: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27982" w:rsidRPr="00CE083F" w:rsidRDefault="00C2798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5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Typové označenie: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C27982">
        <w:trPr>
          <w:trHeight w:val="5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Hmotnosť: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max: 1500 g vrátane batérie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Ochrana: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IP 54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Prevádzková teplota: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min. požadovaný rozsah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od -10°C do +35°C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karta - 4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128 GB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065804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Vstavaná obrazovka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Uhlopriečka: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7 palcov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Jas obrazovky: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1000 cd/m2 (nit)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Dotyková: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DA31E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Vstavaný akumulátor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6000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Čas nabíjania: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2 hodiny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Výdrž vstavaného akumulátora: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 hodiny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A938C3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Externý akumulátor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4500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Výdrž vstavaného a externého akumulátora: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5,5 h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D1789C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lastRenderedPageBreak/>
              <w:t>Systém prenosu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Šifrovanie videa pre bezpečný prenos: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AES-256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Kufor na transport zloženého bezpilotného lietadla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3B0C8D">
        <w:trPr>
          <w:trHeight w:val="2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DE74B3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D51EBF">
        <w:trPr>
          <w:trHeight w:val="61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Odolný voči vniknutiu prachu a vody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CE083F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Materiál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Inteligentná nabíjacia stanica v kufri: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contextualSpacing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Výrobca: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257851" w:rsidRDefault="00CE083F" w:rsidP="00CE083F">
            <w:pPr>
              <w:contextualSpacing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Typové označenie: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257851" w:rsidRDefault="00CE083F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57851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E083F" w:rsidRPr="00257851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257851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E083F" w:rsidRPr="00257851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257851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contextualSpacing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Hmotnosť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4kg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contextualSpacing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8 inteligentných letových akumulátorov</w:t>
            </w:r>
          </w:p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 inteligentné akumulátory ovládača</w:t>
            </w:r>
          </w:p>
          <w:p w:rsidR="00D51EBF" w:rsidRPr="00257851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port na nabíjanie vstavaného akumulátora ovládača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 nabíjania: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sekvenčne po dvoch inteligentných letových akumulátoroch súčasne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257851">
        <w:trPr>
          <w:trHeight w:val="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>Čas nabíjania: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60 min. (dva inteligentné letové akumulátory)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257851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>Napájanie: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220 V AC, 50 Hz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D51EBF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Prevádzková teplota: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-20° do +40°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4E9F" w:rsidRPr="004F6DBA" w:rsidTr="0050211D">
        <w:trPr>
          <w:trHeight w:val="415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F" w:rsidRPr="00434E9F" w:rsidRDefault="00434E9F" w:rsidP="00434E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34E9F">
              <w:rPr>
                <w:rFonts w:ascii="Arial Narrow" w:hAnsi="Arial Narrow" w:cs="Arial"/>
                <w:sz w:val="22"/>
                <w:szCs w:val="22"/>
              </w:rPr>
              <w:t>Ak verejný obstarávateľ v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opise predmetu z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kazky odkazuje na konkr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tneho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robcu, obchodn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ozna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enie, patent, typ, oblas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alebo miesto 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vodu alebo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roby, prip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úšť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a sa pou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itie ekvivalentu, pričom ponúkaný ekvivalent musí spĺňať najmä požiadavky na rovnaké rozmerové, materiálové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funk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vlastnosti. Pri navrhovan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ekvivalentu mus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uch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dza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postupova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s odbornou starostlivos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ou, pri ktorej mus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zoh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adni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vodn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čel a plnú funkčnosť. V prípade ponuky ekvivalentu je uchádzač povinný v ponuke upozorniť (v poznámke - stĺpec 2)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ozna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knut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ekvivalentn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robok a predlo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popis dan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ho ekvivalentu.</w:t>
            </w:r>
          </w:p>
          <w:p w:rsidR="00434E9F" w:rsidRPr="004F6DBA" w:rsidRDefault="00434E9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8E22C2" w:rsidRPr="004F6DBA" w:rsidRDefault="008E22C2" w:rsidP="008E22C2">
      <w:pPr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8E22C2" w:rsidRPr="004F6DBA" w:rsidRDefault="008E22C2" w:rsidP="008E22C2">
      <w:pPr>
        <w:tabs>
          <w:tab w:val="left" w:pos="709"/>
        </w:tabs>
        <w:jc w:val="both"/>
        <w:rPr>
          <w:rStyle w:val="FontStyle29"/>
          <w:rFonts w:ascii="Arial Narrow" w:hAnsi="Arial Narrow"/>
          <w:b w:val="0"/>
          <w:color w:val="000000" w:themeColor="text1"/>
        </w:rPr>
      </w:pPr>
    </w:p>
    <w:p w:rsidR="007D11F0" w:rsidRPr="008E22C2" w:rsidRDefault="007D11F0" w:rsidP="008E22C2"/>
    <w:sectPr w:rsidR="007D11F0" w:rsidRPr="008E22C2" w:rsidSect="00C279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9F" w:rsidRDefault="009F779F" w:rsidP="008E22C2">
      <w:r>
        <w:separator/>
      </w:r>
    </w:p>
  </w:endnote>
  <w:endnote w:type="continuationSeparator" w:id="0">
    <w:p w:rsidR="009F779F" w:rsidRDefault="009F779F" w:rsidP="008E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9F" w:rsidRDefault="009F779F" w:rsidP="008E22C2">
      <w:r>
        <w:separator/>
      </w:r>
    </w:p>
  </w:footnote>
  <w:footnote w:type="continuationSeparator" w:id="0">
    <w:p w:rsidR="009F779F" w:rsidRDefault="009F779F" w:rsidP="008E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82" w:rsidRDefault="00C27982" w:rsidP="00C27982">
    <w:pPr>
      <w:pStyle w:val="Hlavika"/>
      <w:jc w:val="right"/>
    </w:pPr>
    <w:r w:rsidRPr="004F6DBA">
      <w:rPr>
        <w:rFonts w:ascii="Arial Narrow" w:hAnsi="Arial Narrow"/>
        <w:color w:val="000000" w:themeColor="text1"/>
        <w:sz w:val="22"/>
        <w:szCs w:val="22"/>
      </w:rPr>
      <w:t>Príloha č. 1</w:t>
    </w:r>
    <w:r>
      <w:rPr>
        <w:rFonts w:ascii="Arial Narrow" w:hAnsi="Arial Narrow"/>
        <w:color w:val="000000" w:themeColor="text1"/>
        <w:sz w:val="22"/>
        <w:szCs w:val="22"/>
      </w:rPr>
      <w:t>b Opis predmetu zákazky –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73C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DC"/>
    <w:rsid w:val="000100C1"/>
    <w:rsid w:val="000D2B07"/>
    <w:rsid w:val="000D50C6"/>
    <w:rsid w:val="00257851"/>
    <w:rsid w:val="00434E9F"/>
    <w:rsid w:val="00676839"/>
    <w:rsid w:val="007C5DD2"/>
    <w:rsid w:val="007D11F0"/>
    <w:rsid w:val="007D1ADC"/>
    <w:rsid w:val="007E2A1E"/>
    <w:rsid w:val="007F3D6A"/>
    <w:rsid w:val="00805E66"/>
    <w:rsid w:val="008E22C2"/>
    <w:rsid w:val="009B615E"/>
    <w:rsid w:val="009F779F"/>
    <w:rsid w:val="00AE46AC"/>
    <w:rsid w:val="00C27982"/>
    <w:rsid w:val="00CE083F"/>
    <w:rsid w:val="00D14A49"/>
    <w:rsid w:val="00D51EBF"/>
    <w:rsid w:val="00E2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9052"/>
  <w15:chartTrackingRefBased/>
  <w15:docId w15:val="{52CCCE94-1900-48ED-B3F5-89BEBC8E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8E22C2"/>
    <w:rPr>
      <w:rFonts w:ascii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8E22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22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22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22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Hláčik</dc:creator>
  <cp:keywords/>
  <dc:description/>
  <cp:lastModifiedBy>Ľuboš Hláčik</cp:lastModifiedBy>
  <cp:revision>15</cp:revision>
  <dcterms:created xsi:type="dcterms:W3CDTF">2024-01-11T09:21:00Z</dcterms:created>
  <dcterms:modified xsi:type="dcterms:W3CDTF">2024-02-01T09:46:00Z</dcterms:modified>
</cp:coreProperties>
</file>