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202E2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0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740F5289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E30C2A">
        <w:rPr>
          <w:rFonts w:ascii="Times New Roman" w:eastAsia="Times New Roman" w:hAnsi="Times New Roman" w:cs="Times New Roman"/>
          <w:sz w:val="24"/>
          <w:szCs w:val="24"/>
        </w:rPr>
        <w:t>Mulčovač</w:t>
      </w:r>
      <w:proofErr w:type="spellEnd"/>
      <w:r w:rsidR="00E30C2A">
        <w:rPr>
          <w:rFonts w:ascii="Times New Roman" w:eastAsia="Times New Roman" w:hAnsi="Times New Roman" w:cs="Times New Roman"/>
          <w:sz w:val="24"/>
          <w:szCs w:val="24"/>
        </w:rPr>
        <w:t xml:space="preserve"> - kladivkový s bočnou sekciou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0BD0C83E" w:rsidR="00910050" w:rsidRPr="009B2D9A" w:rsidRDefault="00E30C2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auto"/>
              </w:rPr>
              <w:t>Mulčovač</w:t>
            </w:r>
            <w:proofErr w:type="spellEnd"/>
            <w:r>
              <w:rPr>
                <w:b/>
                <w:bCs/>
                <w:color w:val="auto"/>
              </w:rPr>
              <w:t xml:space="preserve"> - kladivkový s bočnou sekciou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58CEBA1C" w:rsidR="00530413" w:rsidRPr="00BB5F51" w:rsidRDefault="00E30C2A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proofErr w:type="spellStart"/>
    <w:r>
      <w:rPr>
        <w:color w:val="C0C0C0"/>
        <w:sz w:val="20"/>
        <w:szCs w:val="20"/>
      </w:rPr>
      <w:t>Mulčovač</w:t>
    </w:r>
    <w:proofErr w:type="spellEnd"/>
    <w:r>
      <w:rPr>
        <w:color w:val="C0C0C0"/>
        <w:sz w:val="20"/>
        <w:szCs w:val="20"/>
      </w:rPr>
      <w:t xml:space="preserve"> - kladivkový s bočnou sekciou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30C2A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14</cp:revision>
  <dcterms:created xsi:type="dcterms:W3CDTF">2023-07-17T05:34:00Z</dcterms:created>
  <dcterms:modified xsi:type="dcterms:W3CDTF">2024-02-11T13:54:00Z</dcterms:modified>
</cp:coreProperties>
</file>