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/>
      </w:pPr>
      <w:r>
        <w:rPr/>
      </w:r>
    </w:p>
    <w:p>
      <w:pPr>
        <w:pStyle w:val="Normal"/>
        <w:tabs>
          <w:tab w:val="clear" w:pos="708"/>
          <w:tab w:val="left" w:pos="1935" w:leader="none"/>
        </w:tabs>
        <w:spacing w:before="0" w:after="0"/>
        <w:jc w:val="center"/>
        <w:rPr>
          <w:rFonts w:ascii="Calibri" w:hAnsi="Calibri" w:eastAsia="Times New Roman" w:cs="Times New Roman"/>
          <w:b/>
          <w:bCs/>
          <w:color w:val="000000"/>
          <w:sz w:val="32"/>
          <w:szCs w:val="32"/>
          <w:lang w:eastAsia="sk-SK"/>
        </w:rPr>
      </w:pPr>
      <w:r>
        <w:rPr>
          <w:rFonts w:eastAsia="Times New Roman" w:cs="Times New Roman"/>
          <w:b/>
          <w:bCs/>
          <w:color w:val="000000"/>
          <w:sz w:val="32"/>
          <w:szCs w:val="32"/>
          <w:lang w:eastAsia="sk-SK"/>
        </w:rPr>
        <w:t>Výzva na predkladanie ponúk</w:t>
      </w:r>
    </w:p>
    <w:p>
      <w:pPr>
        <w:pStyle w:val="Normal"/>
        <w:jc w:val="center"/>
        <w:rPr>
          <w:sz w:val="20"/>
          <w:szCs w:val="20"/>
        </w:rPr>
      </w:pPr>
      <w:r>
        <w:rPr>
          <w:sz w:val="20"/>
          <w:szCs w:val="20"/>
        </w:rPr>
        <w:t>v súvislosti s výberom dodávateľa pre predmet ŽoNFP v rámci PRV 2014-2022</w:t>
      </w:r>
    </w:p>
    <w:p>
      <w:pPr>
        <w:pStyle w:val="Normal"/>
        <w:tabs>
          <w:tab w:val="clear" w:pos="708"/>
          <w:tab w:val="left" w:pos="1935" w:leader="none"/>
        </w:tabs>
        <w:jc w:val="both"/>
        <w:rPr>
          <w:rFonts w:cs="Times New Roman"/>
        </w:rPr>
      </w:pPr>
      <w:r>
        <w:rPr>
          <w:rFonts w:cs="Times New Roman"/>
        </w:rPr>
        <w:t>Obstarávateľ pri obstarávaní postupuje v súlade s Usmernením Pôdohospodárskej platobnej agentúry č. 8/2017 v aktuálnom znení k obstarávaniu tovarov, stavebných prác a služieb financovaných z PRV SR  2014 – 2020.</w:t>
      </w:r>
    </w:p>
    <w:p>
      <w:pPr>
        <w:pStyle w:val="BodyText2"/>
        <w:numPr>
          <w:ilvl w:val="0"/>
          <w:numId w:val="1"/>
        </w:numPr>
        <w:tabs>
          <w:tab w:val="clear" w:pos="708"/>
          <w:tab w:val="left" w:pos="426" w:leader="none"/>
        </w:tabs>
        <w:spacing w:before="0" w:after="240"/>
        <w:ind w:hanging="426" w:left="426"/>
        <w:jc w:val="both"/>
        <w:rPr>
          <w:sz w:val="22"/>
          <w:szCs w:val="22"/>
        </w:rPr>
      </w:pPr>
      <w:r>
        <w:rPr>
          <w:sz w:val="22"/>
          <w:szCs w:val="22"/>
        </w:rPr>
        <w:t>Základné údaje:</w:t>
      </w:r>
    </w:p>
    <w:tbl>
      <w:tblPr>
        <w:tblStyle w:val="Mriekatabuky"/>
        <w:tblW w:w="8926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463"/>
        <w:gridCol w:w="4462"/>
      </w:tblGrid>
      <w:tr>
        <w:trPr>
          <w:trHeight w:val="304" w:hRule="atLeast"/>
        </w:trPr>
        <w:tc>
          <w:tcPr>
            <w:tcW w:w="446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60" w:after="60"/>
              <w:jc w:val="left"/>
              <w:rPr>
                <w:rFonts w:cs="Times New Roman"/>
                <w:b/>
              </w:rPr>
            </w:pPr>
            <w:r>
              <w:rPr>
                <w:rFonts w:eastAsia="Calibri" w:cs="Times New Roman"/>
                <w:b/>
                <w:kern w:val="0"/>
                <w:sz w:val="22"/>
                <w:szCs w:val="22"/>
                <w:lang w:val="sk-SK" w:eastAsia="en-US" w:bidi="ar-SA"/>
              </w:rPr>
              <w:t>Názov žiadateľa/prijímateľa/obstarávateľa:</w:t>
            </w:r>
          </w:p>
        </w:tc>
        <w:tc>
          <w:tcPr>
            <w:tcW w:w="446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Calibri" w:hAnsi="Calibri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sk-SK" w:eastAsia="sk-SK" w:bidi="ar-SA"/>
              </w:rPr>
              <w:t>Shebo Winery Trade, s.r.o.</w:t>
            </w:r>
          </w:p>
        </w:tc>
      </w:tr>
      <w:tr>
        <w:trPr>
          <w:trHeight w:val="292" w:hRule="atLeast"/>
        </w:trPr>
        <w:tc>
          <w:tcPr>
            <w:tcW w:w="446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60" w:after="60"/>
              <w:jc w:val="left"/>
              <w:rPr>
                <w:rFonts w:cs="Times New Roman"/>
                <w:b/>
              </w:rPr>
            </w:pPr>
            <w:r>
              <w:rPr>
                <w:rFonts w:eastAsia="Calibri" w:cs="Times New Roman"/>
                <w:b/>
                <w:kern w:val="0"/>
                <w:sz w:val="22"/>
                <w:szCs w:val="22"/>
                <w:lang w:val="sk-SK" w:eastAsia="en-US" w:bidi="ar-SA"/>
              </w:rPr>
              <w:t>Sídlo:</w:t>
            </w:r>
          </w:p>
        </w:tc>
        <w:tc>
          <w:tcPr>
            <w:tcW w:w="446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Calibri" w:hAnsi="Calibri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sk-SK" w:eastAsia="sk-SK" w:bidi="ar-SA"/>
              </w:rPr>
              <w:t>Dolnozoborská 14, 949 01 Nitra</w:t>
            </w:r>
          </w:p>
        </w:tc>
      </w:tr>
      <w:tr>
        <w:trPr>
          <w:trHeight w:val="304" w:hRule="atLeast"/>
        </w:trPr>
        <w:tc>
          <w:tcPr>
            <w:tcW w:w="446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60" w:after="60"/>
              <w:jc w:val="left"/>
              <w:rPr>
                <w:rFonts w:cs="Times New Roman"/>
                <w:b/>
              </w:rPr>
            </w:pPr>
            <w:r>
              <w:rPr>
                <w:rFonts w:eastAsia="Calibri" w:cs="Times New Roman"/>
                <w:b/>
                <w:kern w:val="0"/>
                <w:sz w:val="22"/>
                <w:szCs w:val="22"/>
                <w:lang w:val="sk-SK" w:eastAsia="en-US" w:bidi="ar-SA"/>
              </w:rPr>
              <w:t>V zastúpení:</w:t>
            </w:r>
          </w:p>
        </w:tc>
        <w:tc>
          <w:tcPr>
            <w:tcW w:w="446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Calibri" w:hAnsi="Calibri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sk-SK" w:eastAsia="sk-SK" w:bidi="ar-SA"/>
              </w:rPr>
              <w:t>PhDr. Eduard Šebo – konateľ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Calibri" w:hAnsi="Calibri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sk-SK" w:eastAsia="sk-SK" w:bidi="ar-SA"/>
              </w:rPr>
              <w:t>Mgr. Pavol Kišon – konateľ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Calibri" w:hAnsi="Calibri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sk-SK" w:eastAsia="sk-SK" w:bidi="ar-SA"/>
              </w:rPr>
              <w:t>Ing. Richard Gažo - konateľ</w:t>
            </w:r>
          </w:p>
        </w:tc>
      </w:tr>
      <w:tr>
        <w:trPr>
          <w:trHeight w:val="292" w:hRule="atLeast"/>
        </w:trPr>
        <w:tc>
          <w:tcPr>
            <w:tcW w:w="446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60" w:after="60"/>
              <w:jc w:val="left"/>
              <w:rPr>
                <w:rFonts w:cs="Times New Roman"/>
                <w:b/>
              </w:rPr>
            </w:pPr>
            <w:r>
              <w:rPr>
                <w:rFonts w:eastAsia="Calibri" w:cs="Times New Roman"/>
                <w:b/>
                <w:kern w:val="0"/>
                <w:sz w:val="22"/>
                <w:szCs w:val="22"/>
                <w:lang w:val="sk-SK" w:eastAsia="en-US" w:bidi="ar-SA"/>
              </w:rPr>
              <w:t>IČO:</w:t>
            </w:r>
          </w:p>
        </w:tc>
        <w:tc>
          <w:tcPr>
            <w:tcW w:w="446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Calibri" w:hAnsi="Calibri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sk-SK" w:eastAsia="sk-SK" w:bidi="ar-SA"/>
              </w:rPr>
              <w:t>31 428 380</w:t>
            </w:r>
          </w:p>
        </w:tc>
      </w:tr>
      <w:tr>
        <w:trPr>
          <w:trHeight w:val="304" w:hRule="atLeast"/>
        </w:trPr>
        <w:tc>
          <w:tcPr>
            <w:tcW w:w="446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60" w:after="60"/>
              <w:jc w:val="left"/>
              <w:rPr>
                <w:rFonts w:cs="Times New Roman"/>
                <w:b/>
              </w:rPr>
            </w:pPr>
            <w:r>
              <w:rPr>
                <w:rFonts w:eastAsia="Calibri" w:cs="Times New Roman"/>
                <w:b/>
                <w:kern w:val="0"/>
                <w:sz w:val="22"/>
                <w:szCs w:val="22"/>
                <w:lang w:val="sk-SK" w:eastAsia="en-US" w:bidi="ar-SA"/>
              </w:rPr>
              <w:t>DIČ:</w:t>
            </w:r>
          </w:p>
        </w:tc>
        <w:tc>
          <w:tcPr>
            <w:tcW w:w="4462" w:type="dxa"/>
            <w:tcBorders/>
          </w:tcPr>
          <w:p>
            <w:pPr>
              <w:pStyle w:val="NoSpacing"/>
              <w:suppressAutoHyphens w:val="true"/>
              <w:jc w:val="both"/>
              <w:rPr>
                <w:rFonts w:ascii="Calibri" w:hAnsi="Calibri"/>
                <w:sz w:val="22"/>
                <w:szCs w:val="22"/>
              </w:rPr>
            </w:pPr>
            <w:r>
              <w:rPr>
                <w:sz w:val="22"/>
                <w:szCs w:val="22"/>
              </w:rPr>
              <w:t>2020410843</w:t>
            </w:r>
          </w:p>
        </w:tc>
      </w:tr>
      <w:tr>
        <w:trPr>
          <w:trHeight w:val="292" w:hRule="atLeast"/>
        </w:trPr>
        <w:tc>
          <w:tcPr>
            <w:tcW w:w="446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60" w:after="60"/>
              <w:jc w:val="left"/>
              <w:rPr>
                <w:rFonts w:cs="Times New Roman"/>
                <w:b/>
              </w:rPr>
            </w:pPr>
            <w:r>
              <w:rPr>
                <w:rFonts w:eastAsia="Calibri" w:cs="Times New Roman"/>
                <w:b/>
                <w:kern w:val="0"/>
                <w:sz w:val="22"/>
                <w:szCs w:val="22"/>
                <w:lang w:val="sk-SK" w:eastAsia="en-US" w:bidi="ar-SA"/>
              </w:rPr>
              <w:t>Osoba, ktorá vykonala prieskum trhu:</w:t>
            </w:r>
          </w:p>
        </w:tc>
        <w:tc>
          <w:tcPr>
            <w:tcW w:w="446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Calibri" w:hAnsi="Calibri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sk-SK" w:eastAsia="sk-SK" w:bidi="ar-SA"/>
              </w:rPr>
              <w:t>Mgr. Pavol Kišon, PhD.</w:t>
            </w:r>
          </w:p>
        </w:tc>
      </w:tr>
      <w:tr>
        <w:trPr>
          <w:trHeight w:val="304" w:hRule="atLeast"/>
        </w:trPr>
        <w:tc>
          <w:tcPr>
            <w:tcW w:w="446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60" w:after="60"/>
              <w:jc w:val="left"/>
              <w:rPr>
                <w:rFonts w:cs="Times New Roman"/>
                <w:b/>
              </w:rPr>
            </w:pPr>
            <w:r>
              <w:rPr>
                <w:rFonts w:eastAsia="Calibri" w:cs="Times New Roman"/>
                <w:b/>
                <w:kern w:val="0"/>
                <w:sz w:val="22"/>
                <w:szCs w:val="22"/>
                <w:lang w:val="sk-SK" w:eastAsia="en-US" w:bidi="ar-SA"/>
              </w:rPr>
              <w:t>Názov projektu a kód ŽoNFP</w:t>
            </w:r>
            <w:r>
              <w:rPr>
                <w:rStyle w:val="FootnoteReference"/>
                <w:rFonts w:eastAsia="Calibri" w:cs="Times New Roman"/>
                <w:b/>
                <w:kern w:val="0"/>
                <w:sz w:val="22"/>
                <w:szCs w:val="22"/>
                <w:lang w:val="sk-SK" w:eastAsia="en-US" w:bidi="ar-SA"/>
              </w:rPr>
              <w:footnoteReference w:id="2"/>
            </w:r>
          </w:p>
        </w:tc>
        <w:tc>
          <w:tcPr>
            <w:tcW w:w="446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Calibri" w:hAnsi="Calibri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sk-SK" w:eastAsia="sk-SK" w:bidi="ar-SA"/>
              </w:rPr>
              <w:t>Zavedenie automatizovaných, inovatívnych, digitalizovaných výrobných technológií v spoločnosti VÍNO NITRA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Calibri" w:hAnsi="Calibri" w:eastAsia="Times New Roman" w:cs="Times New Roman"/>
                <w:color w:val="000000"/>
                <w:kern w:val="0"/>
                <w:sz w:val="22"/>
                <w:szCs w:val="22"/>
                <w:lang w:val="sk-SK" w:eastAsia="sk-SK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sk-SK" w:eastAsia="sk-SK" w:bidi="ar-SA"/>
              </w:rPr>
              <w:t>kód ŽoNFP: 042TT510079</w:t>
            </w:r>
          </w:p>
        </w:tc>
      </w:tr>
      <w:tr>
        <w:trPr>
          <w:trHeight w:val="504" w:hRule="atLeast"/>
        </w:trPr>
        <w:tc>
          <w:tcPr>
            <w:tcW w:w="446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60" w:after="60"/>
              <w:jc w:val="left"/>
              <w:rPr>
                <w:rFonts w:cs="Times New Roman"/>
                <w:b/>
              </w:rPr>
            </w:pPr>
            <w:r>
              <w:rPr>
                <w:rFonts w:eastAsia="Calibri" w:cs="Times New Roman"/>
                <w:b/>
                <w:kern w:val="0"/>
                <w:sz w:val="22"/>
                <w:szCs w:val="22"/>
                <w:lang w:val="sk-SK" w:eastAsia="en-US" w:bidi="ar-SA"/>
              </w:rPr>
              <w:t>Kontaktné údaje pre zabezpečenie komunikácie so záujemcami</w:t>
            </w:r>
          </w:p>
        </w:tc>
        <w:tc>
          <w:tcPr>
            <w:tcW w:w="446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Calibri" w:hAnsi="Calibri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sk-SK" w:eastAsia="sk-SK" w:bidi="ar-SA"/>
              </w:rPr>
              <w:t>Prostredníctvom el. sytému Josephine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Calibri" w:hAnsi="Calibri" w:eastAsia="Times New Roman" w:cs="Times New Roman"/>
                <w:color w:val="000000"/>
                <w:lang w:eastAsia="sk-SK"/>
              </w:rPr>
            </w:pPr>
            <w:hyperlink r:id="rId2">
              <w:r>
                <w:rPr>
                  <w:rStyle w:val="Hyperlink"/>
                  <w:rFonts w:eastAsia="Times New Roman" w:cs="Times New Roman"/>
                  <w:color w:val="000000"/>
                  <w:kern w:val="0"/>
                  <w:sz w:val="22"/>
                  <w:szCs w:val="22"/>
                  <w:lang w:val="sk-SK" w:eastAsia="sk-SK" w:bidi="ar-SA"/>
                </w:rPr>
                <w:t>https://josephine.proebiz.com/sk/tender/52975/summary</w:t>
              </w:r>
            </w:hyperlink>
          </w:p>
        </w:tc>
      </w:tr>
      <w:tr>
        <w:trPr>
          <w:trHeight w:val="1044" w:hRule="atLeast"/>
        </w:trPr>
        <w:tc>
          <w:tcPr>
            <w:tcW w:w="4463" w:type="dxa"/>
            <w:tcBorders/>
            <w:shd w:color="auto" w:fill="auto" w:val="clear"/>
          </w:tcPr>
          <w:p>
            <w:pPr>
              <w:pStyle w:val="Normal"/>
              <w:widowControl/>
              <w:suppressAutoHyphens w:val="true"/>
              <w:spacing w:lineRule="auto" w:line="240" w:before="60" w:after="60"/>
              <w:jc w:val="left"/>
              <w:rPr>
                <w:rFonts w:cs="Times New Roman"/>
                <w:b/>
              </w:rPr>
            </w:pPr>
            <w:r>
              <w:rPr>
                <w:rFonts w:eastAsia="Calibri" w:cs="Times New Roman"/>
                <w:b/>
                <w:kern w:val="0"/>
                <w:sz w:val="22"/>
                <w:szCs w:val="22"/>
                <w:lang w:val="sk-SK" w:eastAsia="en-US" w:bidi="ar-SA"/>
              </w:rPr>
              <w:t>Zatriedenie obstarávacieho subjektu podľa zákona</w:t>
            </w:r>
          </w:p>
        </w:tc>
        <w:tc>
          <w:tcPr>
            <w:tcW w:w="4462" w:type="dxa"/>
            <w:tcBorders/>
            <w:shd w:color="auto" w:fill="auto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cs="Calibri" w:cstheme="minorHAnsi"/>
                <w:i/>
                <w:i/>
                <w:iCs/>
              </w:rPr>
            </w:pPr>
            <w:r>
              <w:rPr>
                <w:rFonts w:eastAsia="Calibri" w:cs="Calibri" w:cstheme="minorHAnsi"/>
                <w:i/>
                <w:iCs/>
                <w:kern w:val="0"/>
                <w:sz w:val="22"/>
                <w:szCs w:val="22"/>
                <w:lang w:val="sk-SK" w:eastAsia="en-US" w:bidi="ar-SA"/>
              </w:rPr>
              <w:t>osoba, ktorej verejný obstarávateľ poskytne viac ako 50% alebo 50% a menej finančných prostriedkov na dodanie tovaru, uskutočnenie stavebných prác a poskytnutie služieb</w:t>
            </w:r>
          </w:p>
        </w:tc>
      </w:tr>
      <w:tr>
        <w:trPr>
          <w:trHeight w:val="4548" w:hRule="atLeast"/>
        </w:trPr>
        <w:tc>
          <w:tcPr>
            <w:tcW w:w="4463" w:type="dxa"/>
            <w:tcBorders/>
            <w:shd w:color="auto" w:fill="auto" w:val="clear"/>
          </w:tcPr>
          <w:p>
            <w:pPr>
              <w:pStyle w:val="Normal"/>
              <w:widowControl/>
              <w:suppressAutoHyphens w:val="true"/>
              <w:spacing w:lineRule="auto" w:line="240" w:before="60" w:after="60"/>
              <w:jc w:val="left"/>
              <w:rPr>
                <w:rFonts w:cs="Times New Roman"/>
                <w:b/>
              </w:rPr>
            </w:pPr>
            <w:r>
              <w:rPr>
                <w:rFonts w:eastAsia="Calibri" w:cs="Times New Roman"/>
                <w:b/>
                <w:kern w:val="0"/>
                <w:sz w:val="22"/>
                <w:szCs w:val="22"/>
                <w:lang w:val="sk-SK" w:eastAsia="en-US" w:bidi="ar-SA"/>
              </w:rPr>
              <w:t>Opis predmetu zákazky</w:t>
            </w:r>
          </w:p>
        </w:tc>
        <w:tc>
          <w:tcPr>
            <w:tcW w:w="4462" w:type="dxa"/>
            <w:tcBorders/>
            <w:shd w:color="auto" w:fill="auto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Calibri" w:hAnsi="Calibri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sk-SK" w:eastAsia="sk-SK" w:bidi="ar-SA"/>
              </w:rPr>
              <w:t>Presná technická špecifikácia na jednotlivé časti predmetu zákazky je uvedená v dokumente "Príloha č. 1_Specifikacia predmetu zakazky_VNR3" vo formáte .xlsx.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Calibri" w:hAnsi="Calibri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sk-SK" w:eastAsia="sk-SK" w:bidi="ar-SA"/>
              </w:rPr>
              <w:t>Predmet zákazky pozostáva z: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Calibri" w:hAnsi="Calibri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sk-SK" w:eastAsia="sk-SK" w:bidi="ar-SA"/>
              </w:rPr>
              <w:t>1. Olivové čerpadlo s výkonom do 20 ton / hodina, počet: 1 ks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Calibri" w:hAnsi="Calibri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sk-SK" w:eastAsia="sk-SK" w:bidi="ar-SA"/>
              </w:rPr>
              <w:t>2. Šikmý kapsový dopravník na dopravu hrozna z násypky do mlynkoodstopkovacieho zariadenia, počet: 1 ks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Calibri" w:hAnsi="Calibri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sk-SK" w:eastAsia="sk-SK" w:bidi="ar-SA"/>
              </w:rPr>
              <w:t>3. Čerpadlo pre odťah kvapalnej časti rmutu, počet: 1 ks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Calibri" w:hAnsi="Calibri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sk-SK" w:eastAsia="sk-SK" w:bidi="ar-SA"/>
              </w:rPr>
              <w:t xml:space="preserve">CPV kód: </w:t>
            </w: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sk-SK" w:eastAsia="sk-SK" w:bidi="ar-SA"/>
              </w:rPr>
              <w:t>39711200-1 – Prístroje na spracovanie potravín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Calibri" w:hAnsi="Calibri" w:eastAsia="Times New Roman" w:cs="Times New Roman"/>
          <w:color w:val="000000"/>
          <w:lang w:eastAsia="sk-SK"/>
        </w:rPr>
      </w:pPr>
      <w:r>
        <w:rPr>
          <w:rFonts w:eastAsia="Times New Roman" w:cs="Times New Roman"/>
          <w:color w:val="000000"/>
          <w:lang w:eastAsia="sk-SK"/>
        </w:rPr>
      </w:r>
    </w:p>
    <w:p>
      <w:pPr>
        <w:pStyle w:val="BodyText2"/>
        <w:numPr>
          <w:ilvl w:val="0"/>
          <w:numId w:val="1"/>
        </w:numPr>
        <w:tabs>
          <w:tab w:val="clear" w:pos="708"/>
          <w:tab w:val="left" w:pos="426" w:leader="none"/>
        </w:tabs>
        <w:spacing w:before="0" w:after="240"/>
        <w:ind w:hanging="426" w:left="426"/>
        <w:jc w:val="both"/>
        <w:rPr>
          <w:sz w:val="22"/>
          <w:szCs w:val="22"/>
        </w:rPr>
      </w:pPr>
      <w:r>
        <w:rPr>
          <w:sz w:val="22"/>
          <w:szCs w:val="22"/>
        </w:rPr>
        <w:t>Názov zákazky:</w:t>
      </w:r>
    </w:p>
    <w:tbl>
      <w:tblPr>
        <w:tblStyle w:val="Mriekatabuky"/>
        <w:tblW w:w="9062" w:type="dxa"/>
        <w:jc w:val="left"/>
        <w:tblInd w:w="11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51"/>
        <w:gridCol w:w="3980"/>
        <w:gridCol w:w="100"/>
        <w:gridCol w:w="748"/>
        <w:gridCol w:w="272"/>
        <w:gridCol w:w="1146"/>
        <w:gridCol w:w="452"/>
        <w:gridCol w:w="1813"/>
      </w:tblGrid>
      <w:tr>
        <w:trPr/>
        <w:tc>
          <w:tcPr>
            <w:tcW w:w="45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60" w:after="60"/>
              <w:jc w:val="left"/>
              <w:rPr>
                <w:rFonts w:cs="Times New Roman"/>
                <w:b/>
              </w:rPr>
            </w:pPr>
            <w:r>
              <w:rPr>
                <w:rFonts w:eastAsia="Calibri" w:cs="Times New Roman"/>
                <w:b/>
                <w:kern w:val="0"/>
                <w:sz w:val="22"/>
                <w:szCs w:val="22"/>
                <w:lang w:val="sk-SK" w:eastAsia="en-US" w:bidi="ar-SA"/>
              </w:rPr>
              <w:t>Názov zákazky</w:t>
            </w:r>
          </w:p>
        </w:tc>
        <w:tc>
          <w:tcPr>
            <w:tcW w:w="4531" w:type="dxa"/>
            <w:gridSpan w:val="6"/>
            <w:tcBorders/>
          </w:tcPr>
          <w:p>
            <w:pPr>
              <w:pStyle w:val="Normal"/>
              <w:widowControl/>
              <w:suppressAutoHyphens w:val="true"/>
              <w:spacing w:lineRule="auto" w:line="240" w:before="60" w:after="60"/>
              <w:jc w:val="both"/>
              <w:rPr>
                <w:rFonts w:cs="Times New Roman"/>
                <w:b/>
              </w:rPr>
            </w:pPr>
            <w:r>
              <w:rPr>
                <w:rFonts w:eastAsia="Calibri" w:cs="Times New Roman"/>
                <w:b/>
                <w:kern w:val="0"/>
                <w:sz w:val="22"/>
                <w:szCs w:val="22"/>
                <w:lang w:val="sk-SK" w:eastAsia="en-US" w:bidi="ar-SA"/>
              </w:rPr>
              <w:t>Zavedenie automatizovaných, inovatívnych, digitalizovaných výrobných technológií - VNR3</w:t>
            </w:r>
          </w:p>
        </w:tc>
      </w:tr>
      <w:tr>
        <w:trPr/>
        <w:tc>
          <w:tcPr>
            <w:tcW w:w="45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60" w:after="60"/>
              <w:jc w:val="left"/>
              <w:rPr>
                <w:rFonts w:cs="Times New Roman"/>
                <w:b/>
              </w:rPr>
            </w:pPr>
            <w:r>
              <w:rPr>
                <w:rFonts w:eastAsia="Calibri" w:cs="Times New Roman"/>
                <w:b/>
                <w:strike/>
                <w:kern w:val="0"/>
                <w:sz w:val="22"/>
                <w:szCs w:val="22"/>
                <w:lang w:val="sk-SK" w:eastAsia="en-US" w:bidi="ar-SA"/>
              </w:rPr>
              <w:t>Rozdelenie</w:t>
            </w:r>
            <w:r>
              <w:rPr>
                <w:rFonts w:eastAsia="Calibri" w:cs="Times New Roman"/>
                <w:b/>
                <w:kern w:val="0"/>
                <w:sz w:val="22"/>
                <w:szCs w:val="22"/>
                <w:lang w:val="sk-SK" w:eastAsia="en-US" w:bidi="ar-SA"/>
              </w:rPr>
              <w:t>/spojenie</w:t>
            </w:r>
            <w:r>
              <w:rPr>
                <w:rStyle w:val="FootnoteReference"/>
                <w:rFonts w:eastAsia="Calibri" w:cs="Times New Roman"/>
                <w:b/>
                <w:kern w:val="0"/>
                <w:sz w:val="22"/>
                <w:szCs w:val="22"/>
                <w:lang w:val="sk-SK" w:eastAsia="en-US" w:bidi="ar-SA"/>
              </w:rPr>
              <w:footnoteReference w:id="3"/>
            </w:r>
            <w:r>
              <w:rPr>
                <w:rFonts w:eastAsia="Calibri" w:cs="Times New Roman"/>
                <w:b/>
                <w:kern w:val="0"/>
                <w:sz w:val="22"/>
                <w:szCs w:val="22"/>
                <w:lang w:val="sk-SK" w:eastAsia="en-US" w:bidi="ar-SA"/>
              </w:rPr>
              <w:t xml:space="preserve"> zákazky s odôvodnením</w:t>
            </w:r>
          </w:p>
        </w:tc>
        <w:tc>
          <w:tcPr>
            <w:tcW w:w="4531" w:type="dxa"/>
            <w:gridSpan w:val="6"/>
            <w:tcBorders/>
          </w:tcPr>
          <w:p>
            <w:pPr>
              <w:pStyle w:val="Normal"/>
              <w:widowControl/>
              <w:suppressAutoHyphens w:val="true"/>
              <w:spacing w:lineRule="auto" w:line="240" w:before="60" w:after="60"/>
              <w:jc w:val="both"/>
              <w:rPr>
                <w:rFonts w:cs="Times New Roman"/>
                <w:b/>
              </w:rPr>
            </w:pPr>
            <w:r>
              <w:rPr>
                <w:rFonts w:eastAsia="Calibri" w:cs="Times New Roman"/>
                <w:b/>
                <w:kern w:val="0"/>
                <w:sz w:val="22"/>
                <w:szCs w:val="22"/>
                <w:lang w:val="sk-SK" w:eastAsia="en-US" w:bidi="ar-SA"/>
              </w:rPr>
              <w:t>Zákazka s určenými parametrami tvorí spolu logický výrobný celok, preto rozdelenie na časti nie je povolené zo strany obstarávateľa.</w:t>
            </w:r>
          </w:p>
        </w:tc>
      </w:tr>
      <w:tr>
        <w:trPr/>
        <w:tc>
          <w:tcPr>
            <w:tcW w:w="551" w:type="dxa"/>
            <w:tcBorders>
              <w:top w:val="single" w:sz="8" w:space="0" w:color="000000"/>
              <w:lef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60" w:after="60"/>
              <w:jc w:val="left"/>
              <w:rPr>
                <w:rFonts w:cs="Times New Roman"/>
                <w:b/>
              </w:rPr>
            </w:pPr>
            <w:r>
              <w:rPr>
                <w:rFonts w:eastAsia="Calibri" w:cs="Times New Roman"/>
                <w:b/>
                <w:kern w:val="0"/>
                <w:sz w:val="22"/>
                <w:szCs w:val="22"/>
                <w:lang w:val="sk-SK" w:eastAsia="en-US" w:bidi="ar-SA"/>
              </w:rPr>
              <w:t>P.č.</w:t>
            </w:r>
          </w:p>
        </w:tc>
        <w:tc>
          <w:tcPr>
            <w:tcW w:w="4080" w:type="dxa"/>
            <w:gridSpan w:val="2"/>
            <w:tcBorders>
              <w:top w:val="single" w:sz="8" w:space="0" w:color="000000"/>
              <w:left w:val="nil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60" w:after="60"/>
              <w:jc w:val="center"/>
              <w:rPr>
                <w:rFonts w:cs="Times New Roman"/>
                <w:b/>
              </w:rPr>
            </w:pPr>
            <w:r>
              <w:rPr>
                <w:rFonts w:eastAsia="Calibri" w:cs="Times New Roman"/>
                <w:b/>
                <w:kern w:val="0"/>
                <w:sz w:val="22"/>
                <w:szCs w:val="22"/>
                <w:lang w:val="sk-SK" w:eastAsia="en-US" w:bidi="ar-SA"/>
              </w:rPr>
              <w:t>Predmet zákazky</w:t>
            </w:r>
          </w:p>
        </w:tc>
        <w:tc>
          <w:tcPr>
            <w:tcW w:w="1020" w:type="dxa"/>
            <w:gridSpan w:val="2"/>
            <w:tcBorders>
              <w:top w:val="single" w:sz="8" w:space="0" w:color="000000"/>
              <w:left w:val="nil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60" w:after="60"/>
              <w:jc w:val="center"/>
              <w:rPr>
                <w:rFonts w:cs="Times New Roman"/>
                <w:b/>
              </w:rPr>
            </w:pPr>
            <w:r>
              <w:rPr>
                <w:rFonts w:eastAsia="Calibri" w:cs="Times New Roman"/>
                <w:b/>
                <w:kern w:val="0"/>
                <w:sz w:val="22"/>
                <w:szCs w:val="22"/>
                <w:lang w:val="sk-SK" w:eastAsia="en-US" w:bidi="ar-SA"/>
              </w:rPr>
              <w:t>ks</w:t>
            </w:r>
          </w:p>
        </w:tc>
        <w:tc>
          <w:tcPr>
            <w:tcW w:w="1598" w:type="dxa"/>
            <w:gridSpan w:val="2"/>
            <w:tcBorders>
              <w:top w:val="single" w:sz="8" w:space="0" w:color="000000"/>
              <w:left w:val="nil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60" w:after="60"/>
              <w:jc w:val="center"/>
              <w:rPr>
                <w:rFonts w:cs="Times New Roman"/>
                <w:b/>
              </w:rPr>
            </w:pPr>
            <w:r>
              <w:rPr>
                <w:rFonts w:eastAsia="Calibri" w:cs="Times New Roman"/>
                <w:b/>
                <w:kern w:val="0"/>
                <w:sz w:val="22"/>
                <w:szCs w:val="22"/>
                <w:lang w:val="sk-SK" w:eastAsia="en-US" w:bidi="ar-SA"/>
              </w:rPr>
              <w:t xml:space="preserve">PHZ bez DPH              </w:t>
            </w:r>
            <w:r>
              <w:rPr>
                <w:rFonts w:eastAsia="Calibri" w:cs="Calibri" w:cstheme="minorHAnsi"/>
                <w:i/>
                <w:iCs/>
                <w:kern w:val="0"/>
                <w:sz w:val="22"/>
                <w:szCs w:val="22"/>
                <w:lang w:val="sk-SK" w:eastAsia="en-US" w:bidi="ar-SA"/>
              </w:rPr>
              <w:t>(v EUR)</w:t>
            </w:r>
          </w:p>
        </w:tc>
        <w:tc>
          <w:tcPr>
            <w:tcW w:w="1813" w:type="dxa"/>
            <w:tcBorders>
              <w:top w:val="single" w:sz="8" w:space="0" w:color="000000"/>
              <w:left w:val="nil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60" w:after="60"/>
              <w:jc w:val="center"/>
              <w:rPr>
                <w:rFonts w:cs="Times New Roman"/>
                <w:b/>
              </w:rPr>
            </w:pPr>
            <w:r>
              <w:rPr>
                <w:rFonts w:eastAsia="Calibri" w:cs="Times New Roman"/>
                <w:b/>
                <w:kern w:val="0"/>
                <w:sz w:val="22"/>
                <w:szCs w:val="22"/>
                <w:lang w:val="sk-SK" w:eastAsia="en-US" w:bidi="ar-SA"/>
              </w:rPr>
              <w:t>opis predmetu zákazky</w:t>
            </w:r>
          </w:p>
        </w:tc>
      </w:tr>
      <w:tr>
        <w:trPr/>
        <w:tc>
          <w:tcPr>
            <w:tcW w:w="551" w:type="dxa"/>
            <w:tcBorders>
              <w:top w:val="nil"/>
              <w:lef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60" w:after="60"/>
              <w:jc w:val="left"/>
              <w:rPr>
                <w:rFonts w:cs="Times New Roman"/>
                <w:b/>
              </w:rPr>
            </w:pPr>
            <w:r>
              <w:rPr>
                <w:rFonts w:eastAsia="Calibri" w:cs="Times New Roman"/>
                <w:b/>
                <w:kern w:val="0"/>
                <w:sz w:val="22"/>
                <w:szCs w:val="22"/>
                <w:lang w:val="sk-SK" w:eastAsia="en-US" w:bidi="ar-SA"/>
              </w:rPr>
              <w:t>1.</w:t>
            </w:r>
          </w:p>
        </w:tc>
        <w:tc>
          <w:tcPr>
            <w:tcW w:w="4080" w:type="dxa"/>
            <w:gridSpan w:val="2"/>
            <w:tcBorders>
              <w:left w:val="nil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60" w:after="60"/>
              <w:jc w:val="left"/>
              <w:rPr>
                <w:rFonts w:cs="Times New Roman"/>
                <w:b/>
              </w:rPr>
            </w:pPr>
            <w:r>
              <w:rPr>
                <w:rFonts w:eastAsia="Calibri" w:cs="Times New Roman"/>
                <w:b/>
                <w:kern w:val="0"/>
                <w:sz w:val="22"/>
                <w:szCs w:val="22"/>
                <w:lang w:val="sk-SK" w:eastAsia="en-US" w:bidi="ar-SA"/>
              </w:rPr>
              <w:t>Olivové čerpadlo s výkonom do 20 ton za hodinu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60" w:after="60"/>
              <w:jc w:val="left"/>
              <w:rPr>
                <w:rFonts w:cs="Times New Roman"/>
                <w:b/>
              </w:rPr>
            </w:pPr>
            <w:r>
              <w:rPr>
                <w:rFonts w:eastAsia="Calibri" w:cs="Times New Roman"/>
                <w:b/>
                <w:kern w:val="0"/>
                <w:sz w:val="22"/>
                <w:szCs w:val="22"/>
                <w:lang w:val="sk-SK" w:eastAsia="en-US" w:bidi="ar-SA"/>
              </w:rPr>
              <w:t>1</w:t>
            </w:r>
          </w:p>
        </w:tc>
        <w:tc>
          <w:tcPr>
            <w:tcW w:w="1598" w:type="dxa"/>
            <w:gridSpan w:val="2"/>
            <w:vMerge w:val="restart"/>
            <w:tcBorders>
              <w:left w:val="nil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60" w:after="60"/>
              <w:jc w:val="left"/>
              <w:rPr>
                <w:rFonts w:cs="Times New Roman"/>
                <w:b/>
              </w:rPr>
            </w:pPr>
            <w:r>
              <w:rPr>
                <w:rFonts w:eastAsia="Calibri" w:cs="Times New Roman"/>
                <w:b/>
                <w:kern w:val="0"/>
                <w:sz w:val="22"/>
                <w:szCs w:val="22"/>
                <w:lang w:val="sk-SK" w:eastAsia="en-US" w:bidi="ar-SA"/>
              </w:rPr>
              <w:t>40 670,75</w:t>
            </w:r>
          </w:p>
        </w:tc>
        <w:tc>
          <w:tcPr>
            <w:tcW w:w="1813" w:type="dxa"/>
            <w:vMerge w:val="restart"/>
            <w:tcBorders>
              <w:left w:val="nil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60" w:after="60"/>
              <w:jc w:val="left"/>
              <w:rPr>
                <w:rFonts w:cs="Times New Roman"/>
                <w:b/>
              </w:rPr>
            </w:pPr>
            <w:r>
              <w:rPr>
                <w:rFonts w:eastAsia="Calibri" w:cs="Times New Roman"/>
                <w:b/>
                <w:kern w:val="0"/>
                <w:sz w:val="22"/>
                <w:szCs w:val="22"/>
                <w:lang w:val="sk-SK" w:eastAsia="en-US" w:bidi="ar-SA"/>
              </w:rPr>
              <w:t>Opis je uvedený v Prílohe č. 1 Specifikacia predmetu zakazky VNR3</w:t>
            </w:r>
          </w:p>
        </w:tc>
      </w:tr>
      <w:tr>
        <w:trPr/>
        <w:tc>
          <w:tcPr>
            <w:tcW w:w="551" w:type="dxa"/>
            <w:tcBorders>
              <w:top w:val="nil"/>
              <w:lef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60" w:after="60"/>
              <w:jc w:val="left"/>
              <w:rPr>
                <w:rFonts w:cs="Times New Roman"/>
                <w:b/>
              </w:rPr>
            </w:pPr>
            <w:r>
              <w:rPr>
                <w:rFonts w:eastAsia="Calibri" w:cs="Times New Roman"/>
                <w:b/>
                <w:kern w:val="0"/>
                <w:sz w:val="22"/>
                <w:szCs w:val="22"/>
                <w:lang w:val="sk-SK" w:eastAsia="en-US" w:bidi="ar-SA"/>
              </w:rPr>
              <w:t>2.</w:t>
            </w:r>
          </w:p>
        </w:tc>
        <w:tc>
          <w:tcPr>
            <w:tcW w:w="4080" w:type="dxa"/>
            <w:gridSpan w:val="2"/>
            <w:tcBorders>
              <w:left w:val="nil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60" w:after="60"/>
              <w:jc w:val="left"/>
              <w:rPr>
                <w:rFonts w:cs="Times New Roman"/>
                <w:b/>
              </w:rPr>
            </w:pPr>
            <w:r>
              <w:rPr>
                <w:rFonts w:eastAsia="Calibri" w:cs="Times New Roman"/>
                <w:b/>
                <w:kern w:val="0"/>
                <w:sz w:val="22"/>
                <w:szCs w:val="22"/>
                <w:lang w:val="sk-SK" w:eastAsia="en-US" w:bidi="ar-SA"/>
              </w:rPr>
              <w:t>Šikmý kapsový dopravník na dopravu hrozna z násypky do mlynkoodstopkovacieho zariadenia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60" w:after="60"/>
              <w:jc w:val="left"/>
              <w:rPr>
                <w:rFonts w:cs="Times New Roman"/>
                <w:b/>
              </w:rPr>
            </w:pPr>
            <w:r>
              <w:rPr>
                <w:rFonts w:eastAsia="Calibri" w:cs="Times New Roman"/>
                <w:b/>
                <w:kern w:val="0"/>
                <w:sz w:val="22"/>
                <w:szCs w:val="22"/>
                <w:lang w:val="sk-SK" w:eastAsia="en-US" w:bidi="ar-SA"/>
              </w:rPr>
              <w:t>1</w:t>
            </w:r>
          </w:p>
        </w:tc>
        <w:tc>
          <w:tcPr>
            <w:tcW w:w="1598" w:type="dxa"/>
            <w:gridSpan w:val="2"/>
            <w:vMerge w:val="continue"/>
            <w:tcBorders>
              <w:left w:val="nil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60" w:after="60"/>
              <w:jc w:val="left"/>
              <w:rPr>
                <w:rFonts w:cs="Times New Roman"/>
                <w:b/>
              </w:rPr>
            </w:pPr>
            <w:r>
              <w:rPr>
                <w:rFonts w:cs="Times New Roman"/>
                <w:b/>
                <w:sz w:val="22"/>
              </w:rPr>
            </w:r>
          </w:p>
        </w:tc>
        <w:tc>
          <w:tcPr>
            <w:tcW w:w="1813" w:type="dxa"/>
            <w:vMerge w:val="continue"/>
            <w:tcBorders>
              <w:left w:val="nil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60" w:after="60"/>
              <w:jc w:val="left"/>
              <w:rPr>
                <w:rFonts w:cs="Times New Roman"/>
                <w:b/>
              </w:rPr>
            </w:pPr>
            <w:r>
              <w:rPr>
                <w:rFonts w:cs="Times New Roman"/>
                <w:b/>
                <w:sz w:val="22"/>
              </w:rPr>
            </w:r>
          </w:p>
        </w:tc>
      </w:tr>
      <w:tr>
        <w:trPr/>
        <w:tc>
          <w:tcPr>
            <w:tcW w:w="551" w:type="dxa"/>
            <w:tcBorders>
              <w:top w:val="nil"/>
              <w:left w:val="single" w:sz="8" w:space="0" w:color="000000"/>
              <w:bottom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60" w:after="60"/>
              <w:jc w:val="left"/>
              <w:rPr>
                <w:rFonts w:cs="Times New Roman"/>
                <w:b/>
              </w:rPr>
            </w:pPr>
            <w:r>
              <w:rPr>
                <w:rFonts w:eastAsia="Calibri" w:cs="Times New Roman"/>
                <w:b/>
                <w:kern w:val="0"/>
                <w:sz w:val="22"/>
                <w:szCs w:val="22"/>
                <w:lang w:val="sk-SK" w:eastAsia="en-US" w:bidi="ar-SA"/>
              </w:rPr>
              <w:t>3.</w:t>
            </w:r>
          </w:p>
        </w:tc>
        <w:tc>
          <w:tcPr>
            <w:tcW w:w="4080" w:type="dxa"/>
            <w:gridSpan w:val="2"/>
            <w:tcBorders>
              <w:left w:val="nil"/>
              <w:bottom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60" w:after="60"/>
              <w:jc w:val="left"/>
              <w:rPr>
                <w:rFonts w:cs="Times New Roman"/>
                <w:b/>
              </w:rPr>
            </w:pPr>
            <w:r>
              <w:rPr>
                <w:rFonts w:eastAsia="Calibri" w:cs="Times New Roman"/>
                <w:b/>
                <w:kern w:val="0"/>
                <w:sz w:val="22"/>
                <w:szCs w:val="22"/>
                <w:lang w:val="sk-SK" w:eastAsia="en-US" w:bidi="ar-SA"/>
              </w:rPr>
              <w:t>Čerpadlo pre odťah kvapalnej časti rmutu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60" w:after="60"/>
              <w:jc w:val="left"/>
              <w:rPr>
                <w:rFonts w:cs="Times New Roman"/>
                <w:b/>
              </w:rPr>
            </w:pPr>
            <w:r>
              <w:rPr>
                <w:rFonts w:eastAsia="Calibri" w:cs="Times New Roman"/>
                <w:b/>
                <w:kern w:val="0"/>
                <w:sz w:val="22"/>
                <w:szCs w:val="22"/>
                <w:lang w:val="sk-SK" w:eastAsia="en-US" w:bidi="ar-SA"/>
              </w:rPr>
              <w:t>1</w:t>
            </w:r>
          </w:p>
        </w:tc>
        <w:tc>
          <w:tcPr>
            <w:tcW w:w="1598" w:type="dxa"/>
            <w:gridSpan w:val="2"/>
            <w:vMerge w:val="continue"/>
            <w:tcBorders>
              <w:left w:val="nil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60" w:after="60"/>
              <w:jc w:val="left"/>
              <w:rPr>
                <w:rFonts w:cs="Times New Roman"/>
                <w:b/>
              </w:rPr>
            </w:pPr>
            <w:r>
              <w:rPr>
                <w:rFonts w:cs="Times New Roman"/>
                <w:b/>
                <w:sz w:val="22"/>
              </w:rPr>
            </w:r>
          </w:p>
        </w:tc>
        <w:tc>
          <w:tcPr>
            <w:tcW w:w="1813" w:type="dxa"/>
            <w:vMerge w:val="continue"/>
            <w:tcBorders>
              <w:left w:val="nil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60" w:after="60"/>
              <w:jc w:val="left"/>
              <w:rPr>
                <w:rFonts w:cs="Times New Roman"/>
                <w:b/>
              </w:rPr>
            </w:pPr>
            <w:r>
              <w:rPr>
                <w:rFonts w:cs="Times New Roman"/>
                <w:b/>
                <w:sz w:val="22"/>
              </w:rPr>
            </w:r>
          </w:p>
        </w:tc>
      </w:tr>
      <w:tr>
        <w:trPr>
          <w:trHeight w:val="275" w:hRule="atLeast"/>
        </w:trPr>
        <w:tc>
          <w:tcPr>
            <w:tcW w:w="5379" w:type="dxa"/>
            <w:gridSpan w:val="4"/>
            <w:tcBorders>
              <w:top w:val="single" w:sz="8" w:space="0" w:color="000000"/>
              <w:lef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cs="Times New Roman"/>
                <w:b/>
              </w:rPr>
            </w:pPr>
            <w:r>
              <w:rPr>
                <w:rFonts w:eastAsia="Calibri" w:cs="Times New Roman"/>
                <w:b/>
                <w:kern w:val="0"/>
                <w:sz w:val="22"/>
                <w:szCs w:val="22"/>
                <w:lang w:val="sk-SK" w:eastAsia="en-US" w:bidi="ar-SA"/>
              </w:rPr>
              <w:t>Lehota na predkladanie ponúk</w:t>
            </w:r>
          </w:p>
        </w:tc>
        <w:tc>
          <w:tcPr>
            <w:tcW w:w="3683" w:type="dxa"/>
            <w:gridSpan w:val="4"/>
            <w:tcBorders>
              <w:top w:val="single" w:sz="8" w:space="0" w:color="000000"/>
              <w:left w:val="nil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Calibri" w:hAnsi="Calibri" w:eastAsia="Calibri" w:cs=""/>
                <w:color w:val="auto"/>
                <w:kern w:val="0"/>
                <w:sz w:val="22"/>
                <w:szCs w:val="22"/>
                <w:lang w:val="sk-SK" w:eastAsia="en-US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sk-SK" w:eastAsia="sk-SK" w:bidi="ar-SA"/>
              </w:rPr>
              <w:t>28.2.2024 do 16:00</w:t>
            </w:r>
          </w:p>
        </w:tc>
      </w:tr>
      <w:tr>
        <w:trPr>
          <w:trHeight w:val="275" w:hRule="atLeast"/>
        </w:trPr>
        <w:tc>
          <w:tcPr>
            <w:tcW w:w="5379" w:type="dxa"/>
            <w:gridSpan w:val="4"/>
            <w:tcBorders>
              <w:top w:val="single" w:sz="8" w:space="0" w:color="000000"/>
              <w:lef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cs="Times New Roman"/>
                <w:b/>
              </w:rPr>
            </w:pPr>
            <w:r>
              <w:rPr>
                <w:rFonts w:eastAsia="Calibri" w:cs="Times New Roman"/>
                <w:b/>
                <w:kern w:val="0"/>
                <w:sz w:val="22"/>
                <w:szCs w:val="22"/>
                <w:lang w:val="sk-SK" w:eastAsia="en-US" w:bidi="ar-SA"/>
              </w:rPr>
              <w:t>Možnosť  predĺženia lehoty na predkladanie ponúk</w:t>
            </w:r>
            <w:r>
              <w:rPr>
                <w:rStyle w:val="FootnoteReference"/>
                <w:rFonts w:eastAsia="Calibri" w:cs="Times New Roman"/>
                <w:b/>
                <w:kern w:val="0"/>
                <w:sz w:val="22"/>
                <w:szCs w:val="22"/>
                <w:lang w:val="sk-SK" w:eastAsia="en-US" w:bidi="ar-SA"/>
              </w:rPr>
              <w:footnoteReference w:id="4"/>
            </w:r>
          </w:p>
        </w:tc>
        <w:tc>
          <w:tcPr>
            <w:tcW w:w="1418" w:type="dxa"/>
            <w:gridSpan w:val="2"/>
            <w:tcBorders>
              <w:top w:val="single" w:sz="8" w:space="0" w:color="000000"/>
              <w:left w:val="nil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cs="Times New Roman"/>
                <w:b/>
              </w:rPr>
            </w:pPr>
            <w:r>
              <w:rPr>
                <w:rFonts w:eastAsia="Calibri" w:cs="Times New Roman"/>
                <w:b/>
                <w:kern w:val="0"/>
                <w:sz w:val="22"/>
                <w:szCs w:val="22"/>
                <w:lang w:val="sk-SK" w:eastAsia="en-US" w:bidi="ar-SA"/>
              </w:rPr>
              <w:t xml:space="preserve">           </w:t>
            </w:r>
            <w:r>
              <w:rPr>
                <w:rFonts w:eastAsia="Calibri" w:cs="Times New Roman"/>
                <w:b/>
                <w:strike/>
                <w:kern w:val="0"/>
                <w:sz w:val="22"/>
                <w:szCs w:val="22"/>
                <w:lang w:val="sk-SK" w:eastAsia="en-US" w:bidi="ar-SA"/>
              </w:rPr>
              <w:t>ÁNO</w:t>
            </w:r>
          </w:p>
        </w:tc>
        <w:tc>
          <w:tcPr>
            <w:tcW w:w="2265" w:type="dxa"/>
            <w:gridSpan w:val="2"/>
            <w:tcBorders>
              <w:top w:val="single" w:sz="8" w:space="0" w:color="000000"/>
              <w:left w:val="nil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cs="Times New Roman"/>
                <w:b/>
              </w:rPr>
            </w:pPr>
            <w:r>
              <w:rPr>
                <w:rFonts w:eastAsia="Calibri" w:cs="Times New Roman"/>
                <w:b/>
                <w:kern w:val="0"/>
                <w:sz w:val="22"/>
                <w:szCs w:val="22"/>
                <w:lang w:val="sk-SK" w:eastAsia="en-US" w:bidi="ar-SA"/>
              </w:rPr>
              <w:t>NIE</w:t>
            </w:r>
          </w:p>
        </w:tc>
      </w:tr>
      <w:tr>
        <w:trPr>
          <w:trHeight w:val="275" w:hRule="atLeast"/>
        </w:trPr>
        <w:tc>
          <w:tcPr>
            <w:tcW w:w="5379" w:type="dxa"/>
            <w:gridSpan w:val="4"/>
            <w:tcBorders>
              <w:lef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cs="Times New Roman"/>
                <w:b/>
              </w:rPr>
            </w:pPr>
            <w:r>
              <w:rPr>
                <w:rFonts w:eastAsia="Calibri" w:cs="Times New Roman"/>
                <w:b/>
                <w:kern w:val="0"/>
                <w:sz w:val="22"/>
                <w:szCs w:val="22"/>
                <w:lang w:val="sk-SK" w:eastAsia="en-US" w:bidi="ar-SA"/>
              </w:rPr>
              <w:t>Kritérium na vyhodnotenie ponúk</w:t>
            </w:r>
          </w:p>
        </w:tc>
        <w:tc>
          <w:tcPr>
            <w:tcW w:w="3683" w:type="dxa"/>
            <w:gridSpan w:val="4"/>
            <w:tcBorders>
              <w:left w:val="nil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uppressAutoHyphens w:val="true"/>
              <w:jc w:val="both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Kritérium pozostáva z 1 kritéria:</w:t>
            </w:r>
          </w:p>
          <w:p>
            <w:pPr>
              <w:pStyle w:val="Normal"/>
              <w:widowControl w:val="false"/>
              <w:suppressAutoHyphens w:val="true"/>
              <w:spacing w:before="0" w:after="160"/>
              <w:jc w:val="both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sk-SK"/>
              </w:rPr>
              <w:t>1. Celková cena v EUR bez DPH – 100%</w:t>
            </w:r>
          </w:p>
        </w:tc>
      </w:tr>
      <w:tr>
        <w:trPr>
          <w:trHeight w:val="275" w:hRule="atLeast"/>
        </w:trPr>
        <w:tc>
          <w:tcPr>
            <w:tcW w:w="5379" w:type="dxa"/>
            <w:gridSpan w:val="4"/>
            <w:tcBorders>
              <w:lef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cs="Times New Roman"/>
                <w:b/>
              </w:rPr>
            </w:pPr>
            <w:r>
              <w:rPr>
                <w:rFonts w:eastAsia="Calibri" w:cs="Times New Roman"/>
                <w:b/>
                <w:kern w:val="0"/>
                <w:sz w:val="22"/>
                <w:szCs w:val="22"/>
                <w:lang w:val="sk-SK" w:eastAsia="en-US" w:bidi="ar-SA"/>
              </w:rPr>
              <w:t>Miesto a spôsob doručenia ponúk</w:t>
            </w:r>
          </w:p>
        </w:tc>
        <w:tc>
          <w:tcPr>
            <w:tcW w:w="3683" w:type="dxa"/>
            <w:gridSpan w:val="4"/>
            <w:tcBorders>
              <w:left w:val="nil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uppressAutoHyphens w:val="true"/>
              <w:jc w:val="both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Cenové ponuky sa predkladajú cez systém JOSEPHINE.</w:t>
            </w:r>
          </w:p>
          <w:p>
            <w:pPr>
              <w:pStyle w:val="Normal"/>
              <w:widowControl w:val="false"/>
              <w:suppressAutoHyphens w:val="true"/>
              <w:spacing w:before="0" w:after="160"/>
              <w:jc w:val="both"/>
              <w:rPr>
                <w:sz w:val="22"/>
              </w:rPr>
            </w:pPr>
            <w:hyperlink r:id="rId3">
              <w:r>
                <w:rPr>
                  <w:rStyle w:val="Hyperlink"/>
                  <w:rFonts w:eastAsia="Times New Roman" w:cs="Calibri"/>
                  <w:color w:val="000000"/>
                  <w:sz w:val="20"/>
                  <w:szCs w:val="20"/>
                  <w:lang w:eastAsia="sk-SK"/>
                </w:rPr>
                <w:t>https://josephine.proebiz.com/sk/tender/47211/summary</w:t>
              </w:r>
            </w:hyperlink>
          </w:p>
        </w:tc>
      </w:tr>
      <w:tr>
        <w:trPr>
          <w:trHeight w:val="259" w:hRule="atLeast"/>
        </w:trPr>
        <w:tc>
          <w:tcPr>
            <w:tcW w:w="5379" w:type="dxa"/>
            <w:gridSpan w:val="4"/>
            <w:tcBorders>
              <w:lef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cs="Times New Roman"/>
                <w:b/>
              </w:rPr>
            </w:pPr>
            <w:r>
              <w:rPr>
                <w:rFonts w:eastAsia="Calibri" w:cs="Times New Roman"/>
                <w:b/>
                <w:kern w:val="0"/>
                <w:sz w:val="22"/>
                <w:szCs w:val="22"/>
                <w:lang w:val="sk-SK" w:eastAsia="en-US" w:bidi="ar-SA"/>
              </w:rPr>
              <w:t>Dátum vyhodnotenia ponúk</w:t>
            </w:r>
          </w:p>
        </w:tc>
        <w:tc>
          <w:tcPr>
            <w:tcW w:w="3683" w:type="dxa"/>
            <w:gridSpan w:val="4"/>
            <w:tcBorders>
              <w:left w:val="nil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sk-SK" w:eastAsia="sk-SK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sk-SK" w:eastAsia="sk-SK" w:bidi="ar-SA"/>
              </w:rPr>
              <w:t>01.03.2024 v systéme Josephine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sk-SK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160"/>
              <w:jc w:val="both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sk-SK"/>
              </w:rPr>
              <w:t>Na ponuku predloženú po uplynutí lehoty na predkladanie ponúk  obstarávateľ nebude prihliadať.</w:t>
            </w:r>
          </w:p>
        </w:tc>
      </w:tr>
      <w:tr>
        <w:trPr>
          <w:trHeight w:val="2186" w:hRule="atLeast"/>
        </w:trPr>
        <w:tc>
          <w:tcPr>
            <w:tcW w:w="5379" w:type="dxa"/>
            <w:gridSpan w:val="4"/>
            <w:tcBorders>
              <w:lef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Calibri" w:hAnsi="Calibri" w:eastAsia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eastAsia="Calibri" w:cs="Times New Roman"/>
                <w:b/>
                <w:kern w:val="0"/>
                <w:sz w:val="22"/>
                <w:szCs w:val="22"/>
                <w:lang w:val="sk-SK" w:eastAsia="en-US" w:bidi="ar-SA"/>
              </w:rPr>
              <w:t>Dodávateľ je povinný dokladovať podmienku  osobnostného postavenia</w:t>
            </w:r>
            <w:r>
              <w:rPr>
                <w:rStyle w:val="FootnoteReference"/>
                <w:rFonts w:eastAsia="Calibri" w:cs="Times New Roman"/>
                <w:b/>
                <w:kern w:val="0"/>
                <w:sz w:val="22"/>
                <w:szCs w:val="22"/>
                <w:lang w:val="sk-SK" w:eastAsia="en-US" w:bidi="ar-SA"/>
              </w:rPr>
              <w:footnoteReference w:id="5"/>
            </w:r>
            <w:r>
              <w:rPr>
                <w:rFonts w:eastAsia="Calibri" w:cs="Times New Roman"/>
                <w:b/>
                <w:kern w:val="0"/>
                <w:sz w:val="22"/>
                <w:szCs w:val="22"/>
                <w:lang w:val="sk-SK" w:eastAsia="en-US" w:bidi="ar-SA"/>
              </w:rPr>
              <w:t>: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Calibri" w:hAnsi="Calibri" w:eastAsia="Calibri" w:cs=""/>
                <w:kern w:val="0"/>
                <w:sz w:val="22"/>
                <w:szCs w:val="22"/>
                <w:lang w:val="sk-SK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sk-SK" w:eastAsia="en-US" w:bidi="ar-SA"/>
              </w:rPr>
              <w:t>a) je oprávnený dodávať tovar, uskutočňovať stavebné práce alebo poskytovať službu v rozsahu, ktorý zodpovedá predmetu  zákazky</w:t>
            </w:r>
          </w:p>
        </w:tc>
        <w:tc>
          <w:tcPr>
            <w:tcW w:w="3683" w:type="dxa"/>
            <w:gridSpan w:val="4"/>
            <w:tcBorders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uppressAutoHyphens w:val="true"/>
              <w:spacing w:lineRule="auto" w:line="240" w:before="0" w:after="160"/>
              <w:jc w:val="left"/>
              <w:rPr>
                <w:sz w:val="22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- originál alebo úradne overenú fotokópiu dokladu (sken), ktorý preukáže oprávnenie Uchádzača realizovať predmet zákazky (výpis z OR SR, výpis z ŽR SR), ktorý v deň odoslania cenovej ponuky nebude starší ako 3 mesiace,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160"/>
              <w:jc w:val="left"/>
              <w:rPr>
                <w:sz w:val="22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- ak tento dokument nepredloží uchádzač v rámci ponuky, obstarávateľ si podmienku účasti preverí z verejne dostupných zdrojov,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160"/>
              <w:jc w:val="left"/>
              <w:rPr>
                <w:sz w:val="22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- uchádzač môže dokument nahradiť platnou registráciou v zozname hospodárskych subjektov alebo môže uviesť internetovú adresu (hypertextový link), na ktorom sú požadované dokumenty verejne prístupné</w:t>
            </w:r>
          </w:p>
        </w:tc>
      </w:tr>
      <w:tr>
        <w:trPr>
          <w:trHeight w:val="1322" w:hRule="atLeast"/>
        </w:trPr>
        <w:tc>
          <w:tcPr>
            <w:tcW w:w="5379" w:type="dxa"/>
            <w:gridSpan w:val="4"/>
            <w:tcBorders>
              <w:top w:val="nil"/>
              <w:lef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Calibri" w:hAnsi="Calibri" w:eastAsia="Calibri" w:cs=""/>
                <w:kern w:val="0"/>
                <w:sz w:val="22"/>
                <w:szCs w:val="22"/>
                <w:lang w:val="sk-SK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sk-SK" w:eastAsia="en-US" w:bidi="ar-SA"/>
              </w:rPr>
              <w:t>b) nemá uložený zákaz účasti vo verejnom obstarávaní potvrdený konečným rozhodnutím v Slovenskej republike a v štáte sídla, miesta podnikania alebo obvyklého pobytu.</w:t>
            </w:r>
          </w:p>
        </w:tc>
        <w:tc>
          <w:tcPr>
            <w:tcW w:w="3683" w:type="dxa"/>
            <w:gridSpan w:val="4"/>
            <w:tcBorders>
              <w:top w:val="nil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Calibri" w:hAnsi="Calibri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Calibri"/>
                <w:color w:val="000000"/>
                <w:kern w:val="0"/>
                <w:sz w:val="20"/>
                <w:szCs w:val="20"/>
                <w:lang w:val="sk-SK" w:eastAsia="sk-SK" w:bidi="ar-SA"/>
              </w:rPr>
              <w:t>- uchádzač nepredkladá žiadny dokument, obstarávateľ si podmienku účasti preverí z verejne dostupných zdrojov</w:t>
            </w:r>
          </w:p>
        </w:tc>
      </w:tr>
      <w:tr>
        <w:trPr>
          <w:trHeight w:val="810" w:hRule="atLeast"/>
        </w:trPr>
        <w:tc>
          <w:tcPr>
            <w:tcW w:w="5379" w:type="dxa"/>
            <w:gridSpan w:val="4"/>
            <w:tcBorders>
              <w:left w:val="single" w:sz="8" w:space="0" w:color="000000"/>
              <w:bottom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:szCs w:val="22"/>
                <w:lang w:val="sk-SK" w:eastAsia="sk-SK" w:bidi="ar-SA"/>
              </w:rPr>
              <w:t>Dodávateľ je povinný dokladovať podmienku  finančného a ekonomického postavenia, technickej spôsobilosti alebo odbornej spôsobilosti</w:t>
            </w:r>
            <w:r>
              <w:rPr>
                <w:rStyle w:val="FootnoteReference"/>
                <w:rFonts w:eastAsia="Times New Roman" w:cs="Times New Roman"/>
                <w:b/>
                <w:bCs/>
                <w:color w:val="000000"/>
                <w:kern w:val="0"/>
                <w:sz w:val="22"/>
                <w:szCs w:val="22"/>
                <w:lang w:val="sk-SK" w:eastAsia="sk-SK" w:bidi="ar-SA"/>
              </w:rPr>
              <w:footnoteReference w:id="6"/>
            </w:r>
          </w:p>
        </w:tc>
        <w:tc>
          <w:tcPr>
            <w:tcW w:w="3683" w:type="dxa"/>
            <w:gridSpan w:val="4"/>
            <w:tcBorders>
              <w:left w:val="nil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Calibri" w:hAnsi="Calibri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Calibri"/>
                <w:color w:val="000000"/>
                <w:kern w:val="0"/>
                <w:sz w:val="20"/>
                <w:szCs w:val="20"/>
                <w:lang w:val="sk-SK" w:eastAsia="sk-SK" w:bidi="ar-SA"/>
              </w:rPr>
              <w:t>- nepožaduje sa</w:t>
            </w:r>
          </w:p>
        </w:tc>
      </w:tr>
      <w:tr>
        <w:trPr>
          <w:trHeight w:val="624" w:hRule="atLeast"/>
        </w:trPr>
        <w:tc>
          <w:tcPr>
            <w:tcW w:w="5379" w:type="dxa"/>
            <w:gridSpan w:val="4"/>
            <w:tcBorders>
              <w:left w:val="single" w:sz="8" w:space="0" w:color="000000"/>
              <w:bottom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:szCs w:val="22"/>
                <w:lang w:val="sk-SK" w:eastAsia="sk-SK" w:bidi="ar-SA"/>
              </w:rPr>
              <w:t>Iné</w:t>
            </w:r>
            <w:r>
              <w:rPr>
                <w:rStyle w:val="FootnoteReference"/>
                <w:rFonts w:eastAsia="Times New Roman" w:cs="Times New Roman"/>
                <w:b/>
                <w:bCs/>
                <w:color w:val="000000"/>
                <w:kern w:val="0"/>
                <w:sz w:val="22"/>
                <w:szCs w:val="22"/>
                <w:lang w:val="sk-SK" w:eastAsia="sk-SK" w:bidi="ar-SA"/>
              </w:rPr>
              <w:footnoteReference w:id="7"/>
            </w:r>
          </w:p>
        </w:tc>
        <w:tc>
          <w:tcPr>
            <w:tcW w:w="3683" w:type="dxa"/>
            <w:gridSpan w:val="4"/>
            <w:tcBorders>
              <w:left w:val="nil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Calibri" w:hAnsi="Calibri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sk-SK" w:eastAsia="sk-SK" w:bidi="ar-SA"/>
              </w:rPr>
              <w:t>Elektronická aukcia – neuplatňuje sa.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Calibri" w:hAnsi="Calibri" w:eastAsia="Times New Roman" w:cs="Times New Roman"/>
          <w:color w:val="000000"/>
          <w:lang w:eastAsia="sk-SK"/>
        </w:rPr>
      </w:pPr>
      <w:r>
        <w:rPr>
          <w:rFonts w:eastAsia="Times New Roman" w:cs="Times New Roman"/>
          <w:color w:val="000000"/>
          <w:lang w:eastAsia="sk-SK"/>
        </w:rPr>
      </w:r>
    </w:p>
    <w:p>
      <w:pPr>
        <w:pStyle w:val="BodyText2"/>
        <w:numPr>
          <w:ilvl w:val="0"/>
          <w:numId w:val="1"/>
        </w:numPr>
        <w:tabs>
          <w:tab w:val="clear" w:pos="708"/>
          <w:tab w:val="left" w:pos="426" w:leader="none"/>
        </w:tabs>
        <w:spacing w:before="0" w:after="240"/>
        <w:ind w:hanging="426" w:left="426"/>
        <w:jc w:val="both"/>
        <w:rPr>
          <w:sz w:val="22"/>
          <w:szCs w:val="22"/>
        </w:rPr>
      </w:pPr>
      <w:r>
        <w:rPr>
          <w:sz w:val="22"/>
          <w:szCs w:val="22"/>
        </w:rPr>
        <w:t>Dodatočné informácie:</w:t>
      </w:r>
    </w:p>
    <w:tbl>
      <w:tblPr>
        <w:tblStyle w:val="Mriekatabuky"/>
        <w:tblW w:w="9062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062"/>
      </w:tblGrid>
      <w:tr>
        <w:trPr/>
        <w:tc>
          <w:tcPr>
            <w:tcW w:w="906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b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sk-SK" w:eastAsia="en-US" w:bidi="ar-SA"/>
              </w:rPr>
              <w:t>Dodatočné informácie</w:t>
            </w:r>
          </w:p>
        </w:tc>
      </w:tr>
      <w:tr>
        <w:trPr/>
        <w:tc>
          <w:tcPr>
            <w:tcW w:w="906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Calibri" w:hAnsi="Calibri" w:eastAsia="Calibri" w:cs=""/>
                <w:kern w:val="0"/>
                <w:sz w:val="22"/>
                <w:szCs w:val="22"/>
                <w:lang w:val="sk-SK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sk-SK" w:eastAsia="en-US" w:bidi="ar-SA"/>
              </w:rPr>
              <w:t>Potenciálny dodávateľ, ktorý bol vyhodnotený ako úspešný, je povinný pred podpisom zmluvy predložiť všetky doklady, ktoré predbežne nahradil čestným vyhlásením. Ak potenciálny dodávateľ nedoručí doklady v stanovenej lehote, jeho ponuka nebude prijatá a ako úspešný bude vyhodnotený potenciálny dodávateľ, ktorý sa umiestnil ako druhý v poradí. Uvedené sa nevzťahuje na vyhlásenia, ktoré sú súčasťou povinných dokumentov registrovaných dodávateľov v zozname hospodárskych subjektov vedených ÚVO za predpokladu, že víťazný dodávateľ je v ňom registrovaný a jeho registrácia je platná.</w:t>
            </w:r>
          </w:p>
        </w:tc>
      </w:tr>
      <w:tr>
        <w:trPr/>
        <w:tc>
          <w:tcPr>
            <w:tcW w:w="906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Calibri" w:hAnsi="Calibri" w:eastAsia="Calibri" w:cs=""/>
                <w:kern w:val="0"/>
                <w:sz w:val="22"/>
                <w:szCs w:val="22"/>
                <w:lang w:val="sk-SK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sk-SK" w:eastAsia="en-US" w:bidi="ar-SA"/>
              </w:rPr>
              <w:t>Potenciálny dodávateľ, ktorý bol vyhodnotený ako úspešný, je povinný pred podpisom zmluvy predložiť údaje o všetkých známych subdodávateľoch; údaje o osobe oprávnenej konať za subdodávateľa v rozsahu meno a priezvisko, adresa trvalého pobytu, dátum narodenia, ak ide o subdodávateľa, ktorý má povinnosť zápisu do registra partnerov verejného sektora.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Calibri" w:hAnsi="Calibri" w:eastAsia="Times New Roman" w:cs="Times New Roman"/>
          <w:color w:val="000000"/>
          <w:lang w:eastAsia="sk-SK"/>
        </w:rPr>
      </w:pPr>
      <w:r>
        <w:rPr>
          <w:rFonts w:eastAsia="Times New Roman" w:cs="Times New Roman"/>
          <w:color w:val="000000"/>
          <w:lang w:eastAsia="sk-SK"/>
        </w:rPr>
      </w:r>
    </w:p>
    <w:p>
      <w:pPr>
        <w:pStyle w:val="Normal"/>
        <w:spacing w:lineRule="auto" w:line="240" w:before="0" w:after="0"/>
        <w:jc w:val="both"/>
        <w:rPr>
          <w:rFonts w:ascii="Calibri" w:hAnsi="Calibri" w:eastAsia="Times New Roman" w:cs="Times New Roman"/>
          <w:color w:val="000000"/>
          <w:lang w:eastAsia="sk-SK"/>
        </w:rPr>
      </w:pPr>
      <w:r>
        <w:rPr>
          <w:rFonts w:eastAsia="Times New Roman" w:cs="Times New Roman"/>
          <w:color w:val="000000"/>
          <w:lang w:eastAsia="sk-SK"/>
        </w:rPr>
      </w:r>
    </w:p>
    <w:p>
      <w:pPr>
        <w:pStyle w:val="Normal"/>
        <w:spacing w:lineRule="auto" w:line="240" w:before="0" w:after="0"/>
        <w:jc w:val="both"/>
        <w:rPr>
          <w:rFonts w:ascii="Calibri" w:hAnsi="Calibri" w:eastAsia="Times New Roman" w:cs="Times New Roman"/>
          <w:color w:val="000000"/>
          <w:lang w:eastAsia="sk-SK"/>
        </w:rPr>
      </w:pPr>
      <w:r>
        <w:rPr>
          <w:rFonts w:eastAsia="Times New Roman" w:cs="Times New Roman"/>
          <w:color w:val="000000"/>
          <w:lang w:eastAsia="sk-SK"/>
        </w:rPr>
      </w:r>
    </w:p>
    <w:p>
      <w:pPr>
        <w:pStyle w:val="Normal"/>
        <w:spacing w:lineRule="auto" w:line="240" w:before="0" w:after="0"/>
        <w:jc w:val="both"/>
        <w:rPr>
          <w:rFonts w:ascii="Calibri" w:hAnsi="Calibri" w:eastAsia="Times New Roman" w:cs="Times New Roman"/>
          <w:color w:val="000000"/>
          <w:lang w:eastAsia="sk-SK"/>
        </w:rPr>
      </w:pPr>
      <w:r>
        <w:rPr>
          <w:rFonts w:eastAsia="Times New Roman" w:cs="Times New Roman"/>
          <w:color w:val="000000"/>
          <w:lang w:eastAsia="sk-SK"/>
        </w:rPr>
      </w:r>
    </w:p>
    <w:p>
      <w:pPr>
        <w:pStyle w:val="Normal"/>
        <w:spacing w:lineRule="auto" w:line="240" w:before="0" w:after="0"/>
        <w:jc w:val="both"/>
        <w:rPr>
          <w:rFonts w:ascii="Calibri" w:hAnsi="Calibri" w:eastAsia="Times New Roman" w:cs="Times New Roman"/>
          <w:color w:val="000000"/>
          <w:lang w:eastAsia="sk-SK"/>
        </w:rPr>
      </w:pPr>
      <w:r>
        <w:rPr>
          <w:rFonts w:eastAsia="Times New Roman" w:cs="Times New Roman"/>
          <w:color w:val="000000"/>
          <w:lang w:eastAsia="sk-SK"/>
        </w:rPr>
      </w:r>
    </w:p>
    <w:p>
      <w:pPr>
        <w:pStyle w:val="Normal"/>
        <w:spacing w:lineRule="auto" w:line="240" w:before="0" w:after="0"/>
        <w:jc w:val="both"/>
        <w:rPr>
          <w:rFonts w:ascii="Calibri" w:hAnsi="Calibri" w:eastAsia="Times New Roman" w:cs="Times New Roman"/>
          <w:bCs/>
          <w:color w:val="000000"/>
          <w:lang w:eastAsia="sk-SK"/>
        </w:rPr>
      </w:pPr>
      <w:r>
        <w:rPr>
          <w:rFonts w:eastAsia="Times New Roman" w:cs="Times New Roman"/>
          <w:bCs/>
          <w:color w:val="000000"/>
          <w:lang w:eastAsia="sk-SK"/>
        </w:rPr>
      </w:r>
    </w:p>
    <w:tbl>
      <w:tblPr>
        <w:tblStyle w:val="Mriekatabuky"/>
        <w:tblW w:w="9062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020"/>
        <w:gridCol w:w="3021"/>
        <w:gridCol w:w="3021"/>
      </w:tblGrid>
      <w:tr>
        <w:trPr/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Calibri" w:hAnsi="Calibri" w:eastAsia="Times New Roman" w:cs="Times New Roman"/>
                <w:bCs/>
                <w:color w:val="000000"/>
                <w:lang w:eastAsia="sk-SK"/>
              </w:rPr>
            </w:pPr>
            <w:r>
              <w:rPr>
                <w:rFonts w:eastAsia="Times New Roman" w:cs="Times New Roman"/>
                <w:bCs/>
                <w:color w:val="000000"/>
                <w:kern w:val="0"/>
                <w:sz w:val="22"/>
                <w:szCs w:val="22"/>
                <w:lang w:val="sk-SK" w:eastAsia="sk-SK" w:bidi="ar-SA"/>
              </w:rPr>
              <w:t>V Trnave</w:t>
            </w:r>
          </w:p>
        </w:tc>
        <w:tc>
          <w:tcPr>
            <w:tcW w:w="302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Calibri" w:hAnsi="Calibri" w:eastAsia="Times New Roman" w:cs="Times New Roman"/>
                <w:bCs/>
                <w:color w:val="000000"/>
                <w:lang w:eastAsia="sk-SK"/>
              </w:rPr>
            </w:pPr>
            <w:r>
              <w:rPr>
                <w:rFonts w:eastAsia="Times New Roman" w:cs="Times New Roman"/>
                <w:bCs/>
                <w:color w:val="000000"/>
                <w:kern w:val="0"/>
                <w:sz w:val="22"/>
                <w:szCs w:val="22"/>
                <w:lang w:val="sk-SK" w:eastAsia="sk-SK" w:bidi="ar-SA"/>
              </w:rPr>
              <w:t>Dňa 15.2.2024</w:t>
            </w:r>
          </w:p>
        </w:tc>
        <w:tc>
          <w:tcPr>
            <w:tcW w:w="3021" w:type="dxa"/>
            <w:tcBorders>
              <w:top w:val="nil"/>
              <w:left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Calibri" w:hAnsi="Calibri" w:eastAsia="Times New Roman" w:cs="Times New Roman"/>
                <w:bCs/>
                <w:color w:val="000000"/>
                <w:lang w:eastAsia="sk-SK"/>
              </w:rPr>
            </w:pPr>
            <w:r>
              <w:rPr>
                <w:rFonts w:eastAsia="Times New Roman" w:cs="Times New Roman"/>
                <w:bCs/>
                <w:color w:val="000000"/>
                <w:sz w:val="22"/>
                <w:lang w:eastAsia="sk-SK"/>
              </w:rPr>
            </w:r>
          </w:p>
        </w:tc>
      </w:tr>
      <w:tr>
        <w:trPr/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Calibri" w:hAnsi="Calibri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sk-SK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Calibri" w:hAnsi="Calibri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sk-SK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Calibri" w:hAnsi="Calibri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sk-SK"/>
              </w:rPr>
            </w:r>
          </w:p>
        </w:tc>
        <w:tc>
          <w:tcPr>
            <w:tcW w:w="302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Calibri" w:hAnsi="Calibri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sk-SK"/>
              </w:rPr>
            </w:r>
          </w:p>
        </w:tc>
        <w:tc>
          <w:tcPr>
            <w:tcW w:w="3021" w:type="dxa"/>
            <w:tcBorders>
              <w:left w:val="nil"/>
              <w:bottom w:val="nil"/>
              <w:right w:val="nil"/>
            </w:tcBorders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rFonts w:ascii="Calibri" w:hAnsi="Calibri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sk-SK" w:eastAsia="sk-SK" w:bidi="ar-SA"/>
              </w:rPr>
              <w:t>Mgr. Pavol Kišon, PhD. - na základe Splnomocnenia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Calibri" w:hAnsi="Calibri" w:eastAsia="Times New Roman" w:cs="Times New Roman"/>
          <w:color w:val="000000"/>
          <w:lang w:eastAsia="sk-SK"/>
        </w:rPr>
      </w:pPr>
      <w:r>
        <w:rPr>
          <w:rFonts w:eastAsia="Times New Roman" w:cs="Times New Roman"/>
          <w:color w:val="000000"/>
          <w:lang w:eastAsia="sk-SK"/>
        </w:rPr>
      </w:r>
    </w:p>
    <w:p>
      <w:pPr>
        <w:pStyle w:val="Normal"/>
        <w:spacing w:lineRule="auto" w:line="240" w:before="0" w:after="0"/>
        <w:jc w:val="both"/>
        <w:rPr>
          <w:rFonts w:ascii="Calibri" w:hAnsi="Calibri" w:eastAsia="Times New Roman" w:cs="Times New Roman"/>
          <w:color w:val="000000"/>
          <w:lang w:eastAsia="sk-SK"/>
        </w:rPr>
      </w:pPr>
      <w:r>
        <w:rPr>
          <w:rFonts w:eastAsia="Times New Roman" w:cs="Times New Roman"/>
          <w:color w:val="000000"/>
          <w:lang w:eastAsia="sk-SK"/>
        </w:rPr>
      </w:r>
    </w:p>
    <w:p>
      <w:pPr>
        <w:pStyle w:val="Normal"/>
        <w:spacing w:lineRule="auto" w:line="240" w:before="0" w:after="0"/>
        <w:jc w:val="both"/>
        <w:rPr>
          <w:rFonts w:ascii="Calibri" w:hAnsi="Calibri" w:eastAsia="Times New Roman" w:cs="Times New Roman"/>
          <w:color w:val="000000"/>
          <w:lang w:eastAsia="sk-SK"/>
        </w:rPr>
      </w:pPr>
      <w:r>
        <w:rPr/>
        <w:br w:type="textWrapping" w:clear="all"/>
      </w:r>
    </w:p>
    <w:tbl>
      <w:tblPr>
        <w:tblW w:w="9498" w:type="dxa"/>
        <w:jc w:val="left"/>
        <w:tblInd w:w="7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1" w:noVBand="1" w:lastRow="0" w:firstColumn="1" w:lastColumn="0" w:noHBand="0" w:val="04a0"/>
      </w:tblPr>
      <w:tblGrid>
        <w:gridCol w:w="2043"/>
        <w:gridCol w:w="7454"/>
      </w:tblGrid>
      <w:tr>
        <w:trPr>
          <w:trHeight w:val="255" w:hRule="atLeast"/>
        </w:trPr>
        <w:tc>
          <w:tcPr>
            <w:tcW w:w="2043" w:type="dxa"/>
            <w:tcBorders/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sk-SK"/>
              </w:rPr>
              <w:t>Prílohy</w:t>
            </w:r>
            <w:r>
              <w:rPr>
                <w:rFonts w:eastAsia="Times New Roman" w:cs="Times New Roman"/>
                <w:color w:val="000000"/>
                <w:lang w:eastAsia="sk-SK"/>
              </w:rPr>
              <w:t>:</w:t>
            </w:r>
          </w:p>
        </w:tc>
        <w:tc>
          <w:tcPr>
            <w:tcW w:w="7454" w:type="dxa"/>
            <w:tcBorders/>
            <w:shd w:color="auto" w:fill="auto" w:val="clear"/>
            <w:vAlign w:val="bottom"/>
          </w:tcPr>
          <w:p>
            <w:pPr>
              <w:pStyle w:val="ListParagraph"/>
              <w:numPr>
                <w:ilvl w:val="0"/>
                <w:numId w:val="2"/>
              </w:numPr>
              <w:spacing w:lineRule="auto" w:line="240" w:before="0" w:after="0"/>
              <w:contextualSpacing/>
              <w:rPr>
                <w:rFonts w:ascii="Calibri" w:hAnsi="Calibri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/>
                <w:color w:val="000000"/>
                <w:lang w:eastAsia="sk-SK"/>
              </w:rPr>
              <w:t>Príloha č. 1_Špecifikácia predmetu zákazky_VNR3</w:t>
            </w:r>
          </w:p>
        </w:tc>
      </w:tr>
      <w:tr>
        <w:trPr>
          <w:trHeight w:val="255" w:hRule="atLeast"/>
        </w:trPr>
        <w:tc>
          <w:tcPr>
            <w:tcW w:w="2043" w:type="dxa"/>
            <w:tcBorders/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sk-SK"/>
              </w:rPr>
            </w:r>
          </w:p>
        </w:tc>
        <w:tc>
          <w:tcPr>
            <w:tcW w:w="7454" w:type="dxa"/>
            <w:tcBorders/>
            <w:shd w:color="auto" w:fill="auto" w:val="clear"/>
            <w:vAlign w:val="bottom"/>
          </w:tcPr>
          <w:p>
            <w:pPr>
              <w:pStyle w:val="ListParagraph"/>
              <w:numPr>
                <w:ilvl w:val="0"/>
                <w:numId w:val="2"/>
              </w:numPr>
              <w:spacing w:lineRule="auto" w:line="240" w:before="0" w:after="0"/>
              <w:contextualSpacing/>
              <w:rPr>
                <w:rFonts w:ascii="Calibri" w:hAnsi="Calibri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/>
                <w:color w:val="000000"/>
                <w:lang w:eastAsia="sk-SK"/>
              </w:rPr>
              <w:t>Návrh_Kúpna zmluva_VNR3</w:t>
            </w:r>
            <w:r>
              <w:rPr>
                <w:rStyle w:val="FootnoteReference"/>
                <w:rFonts w:eastAsia="Times New Roman" w:cs="Times New Roman"/>
                <w:color w:val="000000"/>
                <w:lang w:eastAsia="sk-SK"/>
              </w:rPr>
              <w:footnoteReference w:id="8"/>
            </w:r>
          </w:p>
          <w:p>
            <w:pPr>
              <w:pStyle w:val="ListParagraph"/>
              <w:numPr>
                <w:ilvl w:val="0"/>
                <w:numId w:val="2"/>
              </w:numPr>
              <w:spacing w:lineRule="auto" w:line="240" w:before="0" w:after="0"/>
              <w:contextualSpacing/>
              <w:rPr>
                <w:rFonts w:ascii="Calibri" w:hAnsi="Calibri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/>
                <w:color w:val="000000"/>
                <w:lang w:eastAsia="sk-SK"/>
              </w:rPr>
              <w:t>Splnomocnenie Pavol Kišon</w:t>
            </w:r>
          </w:p>
          <w:p>
            <w:pPr>
              <w:pStyle w:val="ListParagraph"/>
              <w:numPr>
                <w:ilvl w:val="0"/>
                <w:numId w:val="2"/>
              </w:numPr>
              <w:spacing w:lineRule="auto" w:line="240" w:before="0" w:after="0"/>
              <w:contextualSpacing/>
              <w:rPr>
                <w:rFonts w:ascii="Calibri" w:hAnsi="Calibri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/>
                <w:color w:val="000000"/>
                <w:lang w:eastAsia="sk-SK"/>
              </w:rPr>
              <w:t>Čestné vyhlásenie ku konfliktu záujmov</w:t>
            </w:r>
          </w:p>
          <w:p>
            <w:pPr>
              <w:pStyle w:val="ListParagraph"/>
              <w:numPr>
                <w:ilvl w:val="0"/>
                <w:numId w:val="2"/>
              </w:numPr>
              <w:spacing w:lineRule="auto" w:line="240" w:before="0" w:after="0"/>
              <w:contextualSpacing/>
              <w:rPr>
                <w:rFonts w:ascii="Calibri" w:hAnsi="Calibri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/>
                <w:color w:val="000000"/>
                <w:lang w:eastAsia="sk-SK"/>
              </w:rPr>
              <w:t>Vyhlásenie uchádzača týkajúce sa ochrany osobných údajov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Calibri" w:hAnsi="Calibri" w:eastAsia="Times New Roman" w:cs="Times New Roman"/>
          <w:color w:val="000000"/>
          <w:lang w:eastAsia="sk-SK"/>
        </w:rPr>
      </w:pPr>
      <w:r>
        <w:rPr>
          <w:rFonts w:eastAsia="Times New Roman" w:cs="Times New Roman"/>
          <w:color w:val="000000"/>
          <w:lang w:eastAsia="sk-SK"/>
        </w:rPr>
      </w:r>
    </w:p>
    <w:p>
      <w:pPr>
        <w:pStyle w:val="Normal"/>
        <w:spacing w:lineRule="auto" w:line="240" w:before="0" w:after="0"/>
        <w:jc w:val="both"/>
        <w:rPr>
          <w:rFonts w:ascii="Calibri" w:hAnsi="Calibri" w:eastAsia="Times New Roman" w:cs="Times New Roman"/>
          <w:color w:val="000000"/>
          <w:lang w:eastAsia="sk-SK"/>
        </w:rPr>
      </w:pPr>
      <w:r>
        <w:rPr>
          <w:rFonts w:eastAsia="Times New Roman" w:cs="Times New Roman"/>
          <w:color w:val="000000"/>
          <w:lang w:eastAsia="sk-SK"/>
        </w:rPr>
      </w:r>
    </w:p>
    <w:p>
      <w:pPr>
        <w:pStyle w:val="Normal"/>
        <w:spacing w:lineRule="auto" w:line="240" w:before="0" w:after="0"/>
        <w:jc w:val="both"/>
        <w:rPr>
          <w:rFonts w:ascii="Calibri" w:hAnsi="Calibri" w:eastAsia="Times New Roman" w:cs="Times New Roman"/>
          <w:color w:val="000000"/>
          <w:lang w:eastAsia="sk-SK"/>
        </w:rPr>
      </w:pPr>
      <w:r>
        <w:rPr>
          <w:rFonts w:eastAsia="Times New Roman" w:cs="Times New Roman"/>
          <w:color w:val="000000"/>
          <w:lang w:eastAsia="sk-SK"/>
        </w:rPr>
      </w:r>
    </w:p>
    <w:p>
      <w:pPr>
        <w:pStyle w:val="Normal"/>
        <w:spacing w:lineRule="auto" w:line="240" w:before="0" w:after="0"/>
        <w:jc w:val="both"/>
        <w:rPr>
          <w:rFonts w:ascii="Calibri" w:hAnsi="Calibri" w:eastAsia="Times New Roman" w:cs="Times New Roman"/>
          <w:color w:val="000000"/>
          <w:lang w:eastAsia="sk-SK"/>
        </w:rPr>
      </w:pPr>
      <w:r>
        <w:rPr>
          <w:rFonts w:eastAsia="Times New Roman" w:cs="Times New Roman"/>
          <w:color w:val="000000"/>
          <w:lang w:eastAsia="sk-SK"/>
        </w:rPr>
      </w:r>
    </w:p>
    <w:p>
      <w:pPr>
        <w:pStyle w:val="Normal"/>
        <w:jc w:val="center"/>
        <w:rPr>
          <w:rFonts w:eastAsia="Calibri" w:cs="Calibri"/>
          <w:b/>
          <w:sz w:val="20"/>
          <w:szCs w:val="20"/>
        </w:rPr>
      </w:pPr>
      <w:r>
        <w:rPr>
          <w:rFonts w:eastAsia="Calibri" w:cs="Calibri"/>
          <w:b/>
          <w:sz w:val="20"/>
          <w:szCs w:val="20"/>
        </w:rPr>
        <w:t>ČESTNÉ VYHLÁSENIE KU KONFLIKTU ZÁUJMOV</w:t>
      </w:r>
    </w:p>
    <w:p>
      <w:pPr>
        <w:pStyle w:val="Normal"/>
        <w:jc w:val="center"/>
        <w:rPr>
          <w:rFonts w:eastAsia="Calibri" w:cs="Calibri"/>
          <w:b/>
          <w:sz w:val="20"/>
          <w:szCs w:val="20"/>
        </w:rPr>
      </w:pPr>
      <w:r>
        <w:rPr>
          <w:rFonts w:eastAsia="Calibri" w:cs="Calibri"/>
          <w:b/>
          <w:sz w:val="20"/>
          <w:szCs w:val="20"/>
        </w:rPr>
      </w:r>
    </w:p>
    <w:p>
      <w:pPr>
        <w:pStyle w:val="Normal"/>
        <w:rPr>
          <w:rFonts w:eastAsia="Calibri" w:cs="Calibri"/>
          <w:b/>
          <w:sz w:val="20"/>
          <w:szCs w:val="20"/>
        </w:rPr>
      </w:pPr>
      <w:r>
        <w:rPr>
          <w:rFonts w:eastAsia="Calibri" w:cs="Calibri"/>
          <w:b/>
          <w:sz w:val="20"/>
          <w:szCs w:val="20"/>
        </w:rPr>
        <w:t xml:space="preserve">Obchodné meno spoločnosti: </w:t>
        <w:tab/>
        <w:tab/>
        <w:t>.........................................................</w:t>
      </w:r>
    </w:p>
    <w:p>
      <w:pPr>
        <w:pStyle w:val="Normal"/>
        <w:rPr>
          <w:rFonts w:eastAsia="Calibri" w:cs="Calibri"/>
          <w:b/>
          <w:sz w:val="20"/>
          <w:szCs w:val="20"/>
        </w:rPr>
      </w:pPr>
      <w:r>
        <w:rPr>
          <w:rFonts w:eastAsia="Calibri" w:cs="Calibri"/>
          <w:b/>
          <w:sz w:val="20"/>
          <w:szCs w:val="20"/>
        </w:rPr>
        <w:t>Sídlo spoločnosti:</w:t>
        <w:tab/>
        <w:tab/>
        <w:tab/>
        <w:t>..........................................................</w:t>
      </w:r>
    </w:p>
    <w:p>
      <w:pPr>
        <w:pStyle w:val="Normal"/>
        <w:rPr>
          <w:rFonts w:eastAsia="Calibri" w:cs="Calibri"/>
          <w:b/>
          <w:sz w:val="20"/>
          <w:szCs w:val="20"/>
        </w:rPr>
      </w:pPr>
      <w:r>
        <w:rPr>
          <w:rFonts w:eastAsia="Calibri" w:cs="Calibri"/>
          <w:b/>
          <w:sz w:val="20"/>
          <w:szCs w:val="20"/>
        </w:rPr>
        <w:t>IČO:</w:t>
        <w:tab/>
        <w:tab/>
        <w:tab/>
        <w:tab/>
        <w:tab/>
        <w:t>.........................................................</w:t>
      </w:r>
    </w:p>
    <w:p>
      <w:pPr>
        <w:pStyle w:val="Normal"/>
        <w:rPr>
          <w:rFonts w:eastAsia="Calibri" w:cs="Calibri"/>
          <w:b/>
          <w:sz w:val="20"/>
          <w:szCs w:val="20"/>
        </w:rPr>
      </w:pPr>
      <w:r>
        <w:rPr>
          <w:rFonts w:eastAsia="Calibri" w:cs="Calibri"/>
          <w:b/>
          <w:sz w:val="20"/>
          <w:szCs w:val="20"/>
        </w:rPr>
        <w:t>Meno a funkcia oprávnenej osoby:</w:t>
        <w:tab/>
        <w:t>..........................................................</w:t>
      </w:r>
    </w:p>
    <w:p>
      <w:pPr>
        <w:pStyle w:val="Normal"/>
        <w:jc w:val="both"/>
        <w:rPr>
          <w:rFonts w:ascii="Calibri" w:hAnsi="Calibri" w:eastAsia="Calibri" w:cs="Calibri"/>
          <w:sz w:val="22"/>
          <w:szCs w:val="22"/>
        </w:rPr>
      </w:pPr>
      <w:r>
        <w:rPr>
          <w:rFonts w:eastAsia="Calibri" w:cs="Calibri"/>
          <w:sz w:val="22"/>
          <w:szCs w:val="22"/>
        </w:rPr>
      </w:r>
    </w:p>
    <w:p>
      <w:pPr>
        <w:pStyle w:val="Normal"/>
        <w:jc w:val="both"/>
        <w:rPr>
          <w:rFonts w:ascii="Calibri" w:hAnsi="Calibri"/>
          <w:sz w:val="22"/>
          <w:szCs w:val="22"/>
        </w:rPr>
      </w:pPr>
      <w:r>
        <w:rPr>
          <w:rFonts w:eastAsia="Calibri" w:cs="Calibri"/>
          <w:sz w:val="22"/>
          <w:szCs w:val="22"/>
        </w:rPr>
        <w:t xml:space="preserve">ako uchádzač, ktorý predložil ponuku na </w:t>
      </w:r>
      <w:r>
        <w:rPr>
          <w:rFonts w:eastAsia="Calibri" w:cs="Calibri"/>
          <w:b/>
          <w:bCs/>
          <w:sz w:val="22"/>
          <w:szCs w:val="22"/>
        </w:rPr>
        <w:t>predmet</w:t>
      </w:r>
      <w:r>
        <w:rPr>
          <w:rFonts w:eastAsia="Calibri" w:cs="Calibri"/>
          <w:sz w:val="22"/>
          <w:szCs w:val="22"/>
        </w:rPr>
        <w:t xml:space="preserve"> </w:t>
      </w:r>
      <w:r>
        <w:rPr>
          <w:rFonts w:eastAsia="Calibri" w:cs="Calibri"/>
          <w:b/>
          <w:bCs/>
          <w:sz w:val="22"/>
          <w:szCs w:val="22"/>
        </w:rPr>
        <w:t>zákazky s názvom „Zavedenie automatizovaných, inovatívnych, digitalizovaných výrobných technológií - VNR3“, projekt: „</w:t>
      </w:r>
      <w:r>
        <w:rPr>
          <w:rFonts w:eastAsia="Calibri" w:cs="Calibri"/>
          <w:b w:val="false"/>
          <w:bCs w:val="false"/>
          <w:color w:val="000000"/>
          <w:kern w:val="0"/>
          <w:sz w:val="22"/>
          <w:szCs w:val="22"/>
          <w:lang w:val="sk-SK" w:eastAsia="sk-SK" w:bidi="ar-SA"/>
        </w:rPr>
        <w:t>Zavedenie automatizovaných, inovatívnych, digitalizovaných výrobných technológií v spoločnosti VÍNO NITRA</w:t>
      </w:r>
      <w:r>
        <w:rPr>
          <w:rFonts w:eastAsia="Calibri" w:cs="Calibri"/>
          <w:b w:val="false"/>
          <w:bCs w:val="false"/>
          <w:color w:val="000000"/>
          <w:sz w:val="22"/>
          <w:szCs w:val="22"/>
        </w:rPr>
        <w:t>“</w:t>
      </w:r>
    </w:p>
    <w:p>
      <w:pPr>
        <w:pStyle w:val="Normal"/>
        <w:jc w:val="both"/>
        <w:rPr>
          <w:rFonts w:ascii="Calibri" w:hAnsi="Calibri" w:eastAsia="Calibri" w:cs="Calibri"/>
          <w:b/>
          <w:sz w:val="22"/>
          <w:szCs w:val="22"/>
        </w:rPr>
      </w:pPr>
      <w:r>
        <w:rPr>
          <w:rFonts w:eastAsia="Calibri" w:cs="Calibri"/>
          <w:b/>
          <w:sz w:val="22"/>
          <w:szCs w:val="22"/>
        </w:rPr>
        <w:t>týmto čestne vyhlasujem, že</w:t>
      </w:r>
    </w:p>
    <w:p>
      <w:pPr>
        <w:pStyle w:val="Normal"/>
        <w:rPr>
          <w:rFonts w:ascii="Calibri" w:hAnsi="Calibri" w:eastAsia="Calibri" w:cs="Calibri"/>
          <w:sz w:val="22"/>
          <w:szCs w:val="22"/>
        </w:rPr>
      </w:pPr>
      <w:r>
        <w:rPr>
          <w:rFonts w:eastAsia="Calibri" w:cs="Calibri"/>
          <w:sz w:val="22"/>
          <w:szCs w:val="22"/>
        </w:rPr>
        <w:t>v súvislosti s uvedeným verejným obstarávaním:</w:t>
      </w:r>
    </w:p>
    <w:p>
      <w:pPr>
        <w:pStyle w:val="Normal"/>
        <w:numPr>
          <w:ilvl w:val="0"/>
          <w:numId w:val="3"/>
        </w:numPr>
        <w:spacing w:before="0" w:after="0"/>
        <w:contextualSpacing/>
        <w:jc w:val="both"/>
        <w:rPr>
          <w:rFonts w:ascii="Calibri" w:hAnsi="Calibri" w:eastAsia="Calibri" w:cs="Calibri"/>
          <w:sz w:val="22"/>
          <w:szCs w:val="22"/>
        </w:rPr>
      </w:pPr>
      <w:r>
        <w:rPr>
          <w:rFonts w:eastAsia="Calibri" w:cs="Calibri"/>
          <w:sz w:val="22"/>
          <w:szCs w:val="22"/>
        </w:rPr>
        <w:t>som nevyvíjal  a nebudem vyvíjať voči  žiadnej osobe na strane obstarávateľa ktorá je alebo by mohla byť zainteresovaná v rámci tohto prieskumu trhu („zainteresovaná osoba“) akékoľvek aktivity, ktoré vy mohli viesť k zvýhodneniu nášho postavenia v obstarávaní,</w:t>
      </w:r>
    </w:p>
    <w:p>
      <w:pPr>
        <w:pStyle w:val="Normal"/>
        <w:numPr>
          <w:ilvl w:val="0"/>
          <w:numId w:val="3"/>
        </w:numPr>
        <w:spacing w:before="0" w:after="0"/>
        <w:contextualSpacing/>
        <w:jc w:val="both"/>
        <w:rPr>
          <w:rFonts w:ascii="Calibri" w:hAnsi="Calibri" w:eastAsia="Calibri" w:cs="Calibri"/>
          <w:sz w:val="22"/>
          <w:szCs w:val="22"/>
        </w:rPr>
      </w:pPr>
      <w:r>
        <w:rPr>
          <w:rFonts w:eastAsia="Calibri" w:cs="Calibri"/>
          <w:sz w:val="22"/>
          <w:szCs w:val="22"/>
        </w:rPr>
        <w:t>som neposkytol a neposkytnem  akejkoľvek, čo i len potenciálne zainteresovanej osobe priamo alebo nepriamo akúkoľvek finančnú alebo vecnú výhodu ako motiváciu alebo odmenu súvisiacu s týmto  obstarávaním,</w:t>
      </w:r>
    </w:p>
    <w:p>
      <w:pPr>
        <w:pStyle w:val="Normal"/>
        <w:numPr>
          <w:ilvl w:val="0"/>
          <w:numId w:val="3"/>
        </w:numPr>
        <w:spacing w:before="0" w:after="0"/>
        <w:contextualSpacing/>
        <w:jc w:val="both"/>
        <w:rPr>
          <w:rFonts w:ascii="Calibri" w:hAnsi="Calibri" w:eastAsia="Calibri" w:cs="Calibri"/>
          <w:sz w:val="22"/>
          <w:szCs w:val="22"/>
        </w:rPr>
      </w:pPr>
      <w:r>
        <w:rPr>
          <w:rFonts w:eastAsia="Calibri" w:cs="Calibri"/>
          <w:sz w:val="22"/>
          <w:szCs w:val="22"/>
        </w:rPr>
        <w:t>budem bezodkladne informovať obstarávateľa o akejkoľvek situácii, ktorá je považovaná za konflikt záujmov alebo ktorá by mohla viesť ku konfliktu záujmov kedykoľvek v priebehu procesu obstarávania,</w:t>
      </w:r>
    </w:p>
    <w:p>
      <w:pPr>
        <w:pStyle w:val="Normal"/>
        <w:numPr>
          <w:ilvl w:val="0"/>
          <w:numId w:val="3"/>
        </w:numPr>
        <w:spacing w:before="0" w:after="0"/>
        <w:contextualSpacing/>
        <w:jc w:val="both"/>
        <w:rPr>
          <w:rFonts w:ascii="Calibri" w:hAnsi="Calibri" w:eastAsia="Calibri" w:cs="Calibri"/>
          <w:sz w:val="22"/>
          <w:szCs w:val="22"/>
        </w:rPr>
      </w:pPr>
      <w:r>
        <w:rPr>
          <w:rFonts w:eastAsia="Calibri" w:cs="Calibri"/>
          <w:sz w:val="22"/>
          <w:szCs w:val="22"/>
        </w:rPr>
        <w:t>poskytnem obstarávateľovi  v tomto obstarávaní presné, pravdivé a úplné informácie.</w:t>
      </w:r>
    </w:p>
    <w:p>
      <w:pPr>
        <w:pStyle w:val="Normal"/>
        <w:rPr>
          <w:rFonts w:ascii="Calibri" w:hAnsi="Calibri" w:eastAsia="Calibri" w:cs="Calibri"/>
          <w:sz w:val="22"/>
          <w:szCs w:val="22"/>
        </w:rPr>
      </w:pPr>
      <w:r>
        <w:rPr>
          <w:rFonts w:eastAsia="Calibri" w:cs="Calibri"/>
          <w:sz w:val="22"/>
          <w:szCs w:val="22"/>
        </w:rPr>
      </w:r>
    </w:p>
    <w:p>
      <w:pPr>
        <w:pStyle w:val="Normal"/>
        <w:rPr>
          <w:rFonts w:ascii="Calibri" w:hAnsi="Calibri" w:eastAsia="Calibri" w:cs="Calibri"/>
          <w:sz w:val="22"/>
          <w:szCs w:val="22"/>
        </w:rPr>
      </w:pPr>
      <w:r>
        <w:rPr>
          <w:rFonts w:eastAsia="Calibri" w:cs="Calibri"/>
          <w:sz w:val="22"/>
          <w:szCs w:val="22"/>
        </w:rPr>
      </w:r>
    </w:p>
    <w:p>
      <w:pPr>
        <w:pStyle w:val="Normal"/>
        <w:tabs>
          <w:tab w:val="clear" w:pos="708"/>
          <w:tab w:val="left" w:pos="567" w:leader="none"/>
        </w:tabs>
        <w:spacing w:lineRule="auto" w:line="300"/>
        <w:ind w:hanging="10" w:left="22" w:right="0"/>
        <w:jc w:val="both"/>
        <w:rPr>
          <w:rFonts w:ascii="Calibri" w:hAnsi="Calibri" w:cs="Calibri"/>
          <w:sz w:val="22"/>
          <w:szCs w:val="22"/>
        </w:rPr>
      </w:pPr>
      <w:r>
        <w:rPr>
          <w:rFonts w:cs="Calibri"/>
          <w:sz w:val="22"/>
          <w:szCs w:val="22"/>
        </w:rPr>
        <w:t>V ..........................., dňa ...............</w:t>
      </w:r>
    </w:p>
    <w:p>
      <w:pPr>
        <w:pStyle w:val="Normal"/>
        <w:tabs>
          <w:tab w:val="clear" w:pos="708"/>
          <w:tab w:val="left" w:pos="567" w:leader="none"/>
        </w:tabs>
        <w:spacing w:lineRule="auto" w:line="300"/>
        <w:jc w:val="both"/>
        <w:rPr>
          <w:rFonts w:ascii="Calibri" w:hAnsi="Calibri" w:cs="Calibri"/>
          <w:sz w:val="22"/>
          <w:szCs w:val="22"/>
        </w:rPr>
      </w:pPr>
      <w:r>
        <w:rPr>
          <w:rFonts w:cs="Calibri"/>
          <w:sz w:val="22"/>
          <w:szCs w:val="22"/>
        </w:rPr>
      </w:r>
    </w:p>
    <w:p>
      <w:pPr>
        <w:pStyle w:val="Normal"/>
        <w:tabs>
          <w:tab w:val="clear" w:pos="708"/>
          <w:tab w:val="left" w:pos="567" w:leader="none"/>
        </w:tabs>
        <w:spacing w:lineRule="auto" w:line="300"/>
        <w:jc w:val="both"/>
        <w:rPr>
          <w:rFonts w:ascii="Calibri" w:hAnsi="Calibri" w:cs="Calibri"/>
          <w:sz w:val="22"/>
          <w:szCs w:val="22"/>
        </w:rPr>
      </w:pPr>
      <w:r>
        <w:rPr>
          <w:rFonts w:cs="Calibri"/>
          <w:sz w:val="22"/>
          <w:szCs w:val="22"/>
        </w:rPr>
      </w:r>
    </w:p>
    <w:p>
      <w:pPr>
        <w:pStyle w:val="Normal"/>
        <w:rPr>
          <w:rFonts w:ascii="Calibri" w:hAnsi="Calibri" w:eastAsia="Calibri" w:cs="Calibri"/>
          <w:sz w:val="22"/>
          <w:szCs w:val="22"/>
        </w:rPr>
      </w:pPr>
      <w:r>
        <w:rPr>
          <w:rFonts w:eastAsia="Calibri" w:cs="Calibri"/>
          <w:sz w:val="22"/>
          <w:szCs w:val="22"/>
        </w:rPr>
        <w:tab/>
        <w:tab/>
        <w:tab/>
        <w:tab/>
        <w:tab/>
        <w:tab/>
        <w:tab/>
        <w:t>.........................................................</w:t>
      </w:r>
    </w:p>
    <w:p>
      <w:pPr>
        <w:pStyle w:val="Normal"/>
        <w:ind w:left="3540" w:right="0"/>
        <w:rPr>
          <w:rFonts w:ascii="Calibri" w:hAnsi="Calibri"/>
          <w:sz w:val="22"/>
          <w:szCs w:val="22"/>
        </w:rPr>
      </w:pPr>
      <w:r>
        <w:rPr>
          <w:rFonts w:eastAsia="Calibri" w:cs="Calibri"/>
          <w:i/>
          <w:sz w:val="22"/>
          <w:szCs w:val="22"/>
        </w:rPr>
        <w:t xml:space="preserve">              </w:t>
      </w:r>
      <w:r>
        <w:rPr>
          <w:rFonts w:eastAsia="Calibri" w:cs="Calibri"/>
          <w:i/>
          <w:sz w:val="22"/>
          <w:szCs w:val="22"/>
        </w:rPr>
        <w:t>Podpis  štatutárneho zástupcu a pečiatka spoločnosti</w:t>
      </w:r>
    </w:p>
    <w:p>
      <w:pPr>
        <w:pStyle w:val="Normal"/>
        <w:jc w:val="both"/>
        <w:rPr>
          <w:rFonts w:ascii="Calibri" w:hAnsi="Calibri" w:cs="Calibri"/>
          <w:b/>
          <w:sz w:val="22"/>
          <w:szCs w:val="22"/>
        </w:rPr>
      </w:pPr>
      <w:r>
        <w:rPr>
          <w:rFonts w:cs="Calibri"/>
          <w:b/>
          <w:sz w:val="22"/>
          <w:szCs w:val="22"/>
        </w:rPr>
      </w:r>
    </w:p>
    <w:p>
      <w:pPr>
        <w:pStyle w:val="Normal"/>
        <w:rPr>
          <w:rFonts w:ascii="Calibri" w:hAnsi="Calibri" w:cs="Calibri"/>
          <w:b/>
          <w:color w:val="FF0000"/>
          <w:sz w:val="22"/>
          <w:szCs w:val="22"/>
        </w:rPr>
      </w:pPr>
      <w:r>
        <w:rPr>
          <w:rFonts w:cs="Calibri"/>
          <w:b/>
          <w:color w:val="FF0000"/>
          <w:sz w:val="22"/>
          <w:szCs w:val="22"/>
        </w:rPr>
      </w:r>
    </w:p>
    <w:p>
      <w:pPr>
        <w:pStyle w:val="Normal"/>
        <w:jc w:val="both"/>
        <w:rPr>
          <w:rFonts w:ascii="Calibri" w:hAnsi="Calibri" w:eastAsia="Calibri" w:cs="Calibri"/>
          <w:color w:val="FF0000"/>
          <w:sz w:val="22"/>
          <w:szCs w:val="22"/>
          <w:lang w:val="en-US"/>
        </w:rPr>
      </w:pPr>
      <w:r>
        <w:rPr>
          <w:rFonts w:eastAsia="Calibri" w:cs="Calibri"/>
          <w:color w:val="FF0000"/>
          <w:sz w:val="22"/>
          <w:szCs w:val="22"/>
          <w:lang w:val="en-US"/>
        </w:rPr>
      </w:r>
    </w:p>
    <w:p>
      <w:pPr>
        <w:pStyle w:val="Normal"/>
        <w:widowControl w:val="false"/>
        <w:suppressAutoHyphens w:val="true"/>
        <w:spacing w:lineRule="exact" w:line="200" w:before="0" w:after="2681"/>
        <w:jc w:val="both"/>
        <w:rPr>
          <w:rFonts w:ascii="Calibri" w:hAnsi="Calibri"/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widowControl w:val="false"/>
        <w:suppressAutoHyphens w:val="true"/>
        <w:spacing w:lineRule="exact" w:line="200" w:before="0" w:after="2681"/>
        <w:jc w:val="both"/>
        <w:rPr>
          <w:rFonts w:ascii="Calibri" w:hAnsi="Calibri"/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keepNext w:val="true"/>
        <w:keepLines/>
        <w:numPr>
          <w:ilvl w:val="0"/>
          <w:numId w:val="0"/>
        </w:numPr>
        <w:spacing w:before="40" w:after="0"/>
        <w:ind w:hanging="0" w:left="0"/>
        <w:jc w:val="center"/>
        <w:outlineLvl w:val="1"/>
        <w:rPr>
          <w:rFonts w:ascii="Calibri" w:hAnsi="Calibri"/>
          <w:sz w:val="22"/>
          <w:szCs w:val="22"/>
        </w:rPr>
      </w:pPr>
      <w:r>
        <w:rPr>
          <w:rFonts w:cs="Calibri" w:cstheme="minorHAnsi"/>
          <w:b/>
          <w:sz w:val="22"/>
          <w:szCs w:val="22"/>
        </w:rPr>
        <w:t>VYHLÁSENIE  UCHÁDZAČA TÝKAJÚCE SA OCHRANY OSOBNÝCH ÚDAJOV</w:t>
      </w:r>
    </w:p>
    <w:p>
      <w:pPr>
        <w:pStyle w:val="Normal"/>
        <w:spacing w:lineRule="auto" w:line="302"/>
        <w:ind w:hanging="10" w:left="22"/>
        <w:jc w:val="both"/>
        <w:rPr>
          <w:rFonts w:ascii="Calibri" w:hAnsi="Calibri" w:cs="Calibri" w:cstheme="minorHAnsi"/>
          <w:sz w:val="22"/>
          <w:szCs w:val="22"/>
        </w:rPr>
      </w:pPr>
      <w:r>
        <w:rPr>
          <w:rFonts w:cs="Calibri" w:cstheme="minorHAnsi"/>
          <w:sz w:val="22"/>
          <w:szCs w:val="22"/>
        </w:rPr>
      </w:r>
    </w:p>
    <w:p>
      <w:pPr>
        <w:pStyle w:val="Normal"/>
        <w:shd w:val="clear" w:color="auto" w:fill="FFFFFF"/>
        <w:spacing w:lineRule="auto" w:line="302"/>
        <w:ind w:hanging="10" w:left="22"/>
        <w:jc w:val="both"/>
        <w:rPr>
          <w:rFonts w:ascii="Calibri" w:hAnsi="Calibri" w:cs="Calibri" w:cstheme="minorHAnsi"/>
          <w:bCs/>
          <w:sz w:val="22"/>
          <w:szCs w:val="22"/>
        </w:rPr>
      </w:pPr>
      <w:r>
        <w:rPr>
          <w:rFonts w:cs="Calibri" w:cstheme="minorHAnsi"/>
          <w:bCs/>
          <w:sz w:val="22"/>
          <w:szCs w:val="22"/>
        </w:rPr>
      </w:r>
    </w:p>
    <w:p>
      <w:pPr>
        <w:pStyle w:val="Normal"/>
        <w:shd w:val="clear" w:color="auto" w:fill="FFFFFF"/>
        <w:spacing w:lineRule="auto" w:line="302" w:before="0" w:after="14"/>
        <w:ind w:hanging="10" w:left="22"/>
        <w:jc w:val="both"/>
        <w:rPr>
          <w:rFonts w:ascii="Calibri" w:hAnsi="Calibri"/>
          <w:sz w:val="22"/>
          <w:szCs w:val="22"/>
        </w:rPr>
      </w:pPr>
      <w:r>
        <w:rPr>
          <w:rFonts w:cs="Calibri" w:cstheme="minorHAnsi"/>
          <w:bCs/>
          <w:sz w:val="22"/>
          <w:szCs w:val="22"/>
        </w:rPr>
        <w:t xml:space="preserve">Ako uchádzač:..........................................................., so sídlom ..........................................................., </w:t>
      </w:r>
    </w:p>
    <w:p>
      <w:pPr>
        <w:pStyle w:val="Normal"/>
        <w:shd w:val="clear" w:color="auto" w:fill="FFFFFF"/>
        <w:spacing w:lineRule="auto" w:line="302" w:before="0" w:after="14"/>
        <w:ind w:hanging="10" w:left="22"/>
        <w:jc w:val="both"/>
        <w:rPr>
          <w:rFonts w:ascii="Calibri" w:hAnsi="Calibri"/>
          <w:sz w:val="22"/>
          <w:szCs w:val="22"/>
        </w:rPr>
      </w:pPr>
      <w:r>
        <w:rPr>
          <w:rFonts w:cs="Calibri" w:cstheme="minorHAnsi"/>
          <w:bCs/>
          <w:sz w:val="22"/>
          <w:szCs w:val="22"/>
        </w:rPr>
        <w:t>IČO: .................................. týmto vyhlasujem, že predložením ponuky na predmet z</w:t>
      </w:r>
      <w:r>
        <w:rPr>
          <w:rFonts w:cs="Calibri" w:cstheme="minorHAnsi"/>
          <w:b w:val="false"/>
          <w:bCs w:val="false"/>
          <w:sz w:val="22"/>
          <w:szCs w:val="22"/>
        </w:rPr>
        <w:t xml:space="preserve">ákazky </w:t>
      </w:r>
      <w:r>
        <w:rPr>
          <w:rFonts w:eastAsia="Calibri" w:cs="Calibri"/>
          <w:b w:val="false"/>
          <w:bCs w:val="false"/>
          <w:sz w:val="22"/>
          <w:szCs w:val="22"/>
        </w:rPr>
        <w:t>s názvom „Zavedenie automatizovaných, inovatívnych, digitalizovaných výrobných technológií - VNR3“</w:t>
      </w:r>
    </w:p>
    <w:p>
      <w:pPr>
        <w:pStyle w:val="Normal"/>
        <w:jc w:val="both"/>
        <w:rPr>
          <w:rFonts w:ascii="Calibri" w:hAnsi="Calibri"/>
          <w:sz w:val="22"/>
          <w:szCs w:val="22"/>
        </w:rPr>
      </w:pPr>
      <w:r>
        <w:rPr>
          <w:rFonts w:cs="Calibri" w:cstheme="minorHAnsi"/>
          <w:bCs/>
          <w:sz w:val="22"/>
          <w:szCs w:val="22"/>
        </w:rPr>
        <w:t xml:space="preserve">súhlasím s  </w:t>
      </w:r>
      <w:r>
        <w:rPr>
          <w:rFonts w:eastAsia="Calibri" w:cs="Calibri" w:cstheme="minorHAnsi"/>
          <w:sz w:val="22"/>
          <w:szCs w:val="22"/>
        </w:rPr>
        <w:t>evidenciou a spracovaním osobných údajov podľa Zákona č.18/2018 Z.z. a Nariadenia (EÚ)</w:t>
      </w:r>
      <w:r>
        <w:rPr>
          <w:rFonts w:cs="Calibri" w:cstheme="minorHAnsi"/>
          <w:bCs/>
          <w:sz w:val="22"/>
          <w:szCs w:val="22"/>
        </w:rPr>
        <w:t xml:space="preserve"> </w:t>
      </w:r>
      <w:r>
        <w:rPr>
          <w:rFonts w:eastAsia="Calibri" w:cs="Calibri" w:cstheme="minorHAnsi"/>
          <w:sz w:val="22"/>
          <w:szCs w:val="22"/>
        </w:rPr>
        <w:t xml:space="preserve">2016/679. V zmysle Zákona č.18/2018 Z.z. o ochrane osobných údajov a Nariadenia Európskeho parlamentu a Rady (EÚ) 2016/679 z 27. apríla 2016 o ochrane fyzických osôb pri spracúvaní osobných údajov a o voľnom pohybe takýchto údajov, ktorým sa zrušuje smernica 95/46/ES o ochrane osobných údajov súhlasíme so správou, spracovaním a uchovaním osobných údajov uvedených v našej ponuke obstarávateľom a/alebo osobou splnomocnenou na proces obstarávania. Zároveň dávame súhlas na ich sprístupnenie aj tretím osobám, ktorými sú kontrolné orgány vykonávajúce kontrolu procesu obstarávania na daný predmet zákazky a to až do 31.12.2028. Pri spracúvaní osobných údajov v žiadnom prípade nebude dochádzať k cezhraničnému prenosu do tretích krajín. Súhlas je možné kedykoľvek odvolať, inak súhlas zanikne po uplynutí 31.12.2028. </w:t>
      </w:r>
    </w:p>
    <w:p>
      <w:pPr>
        <w:pStyle w:val="Normal"/>
        <w:jc w:val="both"/>
        <w:rPr>
          <w:rFonts w:ascii="Calibri" w:hAnsi="Calibri" w:eastAsia="Calibri" w:cs="Calibri" w:cstheme="minorHAnsi"/>
          <w:sz w:val="22"/>
          <w:szCs w:val="22"/>
        </w:rPr>
      </w:pPr>
      <w:r>
        <w:rPr>
          <w:rFonts w:eastAsia="Calibri" w:cs="Calibri" w:cstheme="minorHAnsi"/>
          <w:sz w:val="22"/>
          <w:szCs w:val="22"/>
        </w:rPr>
      </w:r>
    </w:p>
    <w:p>
      <w:pPr>
        <w:pStyle w:val="Normal"/>
        <w:jc w:val="both"/>
        <w:rPr>
          <w:rFonts w:ascii="Calibri" w:hAnsi="Calibri" w:eastAsia="Calibri" w:cs="Calibri" w:cstheme="minorHAnsi"/>
          <w:sz w:val="22"/>
          <w:szCs w:val="22"/>
        </w:rPr>
      </w:pPr>
      <w:r>
        <w:rPr>
          <w:rFonts w:eastAsia="Calibri" w:cs="Calibri" w:cstheme="minorHAnsi"/>
          <w:sz w:val="22"/>
          <w:szCs w:val="22"/>
        </w:rPr>
      </w:r>
    </w:p>
    <w:p>
      <w:pPr>
        <w:pStyle w:val="Normal"/>
        <w:tabs>
          <w:tab w:val="clear" w:pos="708"/>
          <w:tab w:val="left" w:pos="567" w:leader="none"/>
        </w:tabs>
        <w:spacing w:lineRule="auto" w:line="302"/>
        <w:ind w:hanging="10" w:left="22"/>
        <w:jc w:val="both"/>
        <w:rPr>
          <w:rFonts w:ascii="Calibri" w:hAnsi="Calibri"/>
          <w:sz w:val="22"/>
          <w:szCs w:val="22"/>
        </w:rPr>
      </w:pPr>
      <w:r>
        <w:rPr>
          <w:rFonts w:cs="Calibri" w:cstheme="minorHAnsi"/>
          <w:sz w:val="22"/>
          <w:szCs w:val="22"/>
        </w:rPr>
        <w:t>V ..........................., dňa ...............</w:t>
      </w:r>
    </w:p>
    <w:p>
      <w:pPr>
        <w:pStyle w:val="Normal"/>
        <w:rPr>
          <w:rFonts w:ascii="Calibri" w:hAnsi="Calibri"/>
          <w:sz w:val="22"/>
          <w:szCs w:val="22"/>
        </w:rPr>
      </w:pPr>
      <w:r>
        <w:rPr>
          <w:rFonts w:eastAsia="Calibri" w:cs="Calibri" w:cstheme="minorHAnsi"/>
          <w:sz w:val="22"/>
          <w:szCs w:val="22"/>
        </w:rPr>
        <w:tab/>
        <w:tab/>
        <w:tab/>
        <w:tab/>
        <w:tab/>
        <w:tab/>
        <w:tab/>
      </w:r>
      <w:r>
        <w:rPr>
          <w:rFonts w:eastAsia="Calibri"/>
          <w:sz w:val="22"/>
          <w:szCs w:val="22"/>
        </w:rPr>
        <w:t>…………………………………...............................</w:t>
      </w:r>
    </w:p>
    <w:p>
      <w:pPr>
        <w:pStyle w:val="Normal"/>
        <w:ind w:firstLine="708" w:left="4248"/>
        <w:rPr>
          <w:rFonts w:ascii="Calibri" w:hAnsi="Calibri"/>
          <w:sz w:val="22"/>
          <w:szCs w:val="22"/>
        </w:rPr>
      </w:pPr>
      <w:r>
        <w:rPr>
          <w:rFonts w:eastAsia="Calibri"/>
          <w:i/>
          <w:sz w:val="22"/>
          <w:szCs w:val="22"/>
        </w:rPr>
        <w:t>Meno a priezvisko štatutárneho zástupcu</w:t>
      </w:r>
    </w:p>
    <w:p>
      <w:pPr>
        <w:pStyle w:val="Normal"/>
        <w:rPr>
          <w:rFonts w:ascii="Calibri" w:hAnsi="Calibri"/>
          <w:sz w:val="22"/>
          <w:szCs w:val="22"/>
        </w:rPr>
      </w:pPr>
      <w:r>
        <w:rPr>
          <w:rFonts w:eastAsia="Calibri"/>
          <w:i/>
          <w:sz w:val="22"/>
          <w:szCs w:val="22"/>
        </w:rPr>
        <w:tab/>
        <w:tab/>
        <w:tab/>
        <w:tab/>
        <w:tab/>
        <w:tab/>
        <w:tab/>
        <w:t xml:space="preserve">              názov  a pečiatka spoločnosti</w:t>
      </w:r>
    </w:p>
    <w:p>
      <w:pPr>
        <w:pStyle w:val="Normal"/>
        <w:ind w:firstLine="708" w:left="4248"/>
        <w:rPr>
          <w:rFonts w:ascii="Calibri" w:hAnsi="Calibri" w:eastAsia="Calibri" w:cs="Calibri" w:cstheme="minorHAnsi"/>
          <w:sz w:val="22"/>
          <w:szCs w:val="22"/>
        </w:rPr>
      </w:pPr>
      <w:r>
        <w:rPr>
          <w:rFonts w:eastAsia="Calibri" w:cs="Calibri" w:cstheme="minorHAnsi"/>
          <w:sz w:val="22"/>
          <w:szCs w:val="22"/>
        </w:rPr>
      </w:r>
    </w:p>
    <w:p>
      <w:pPr>
        <w:pStyle w:val="Normal"/>
        <w:tabs>
          <w:tab w:val="clear" w:pos="708"/>
          <w:tab w:val="left" w:pos="567" w:leader="none"/>
        </w:tabs>
        <w:jc w:val="both"/>
        <w:rPr>
          <w:rFonts w:ascii="Calibri" w:hAnsi="Calibri" w:eastAsia="Arial" w:cs="Arial"/>
          <w:b/>
          <w:bCs/>
          <w:sz w:val="22"/>
          <w:szCs w:val="22"/>
          <w:u w:val="single"/>
        </w:rPr>
      </w:pPr>
      <w:r>
        <w:rPr>
          <w:rFonts w:eastAsia="Arial" w:cs="Arial"/>
          <w:b/>
          <w:bCs/>
          <w:sz w:val="22"/>
          <w:szCs w:val="22"/>
          <w:u w:val="single"/>
        </w:rPr>
      </w:r>
    </w:p>
    <w:p>
      <w:pPr>
        <w:pStyle w:val="Normal"/>
        <w:tabs>
          <w:tab w:val="clear" w:pos="708"/>
          <w:tab w:val="left" w:pos="567" w:leader="none"/>
        </w:tabs>
        <w:jc w:val="both"/>
        <w:rPr>
          <w:rFonts w:ascii="Arial" w:hAnsi="Arial" w:eastAsia="Arial" w:cs="Arial"/>
          <w:b/>
          <w:bCs/>
          <w:u w:val="single"/>
        </w:rPr>
      </w:pPr>
      <w:r>
        <w:rPr>
          <w:rFonts w:eastAsia="Arial" w:cs="Arial" w:ascii="Arial" w:hAnsi="Arial"/>
          <w:b/>
          <w:bCs/>
          <w:u w:val="single"/>
        </w:rPr>
      </w:r>
    </w:p>
    <w:p>
      <w:pPr>
        <w:pStyle w:val="Normal"/>
        <w:tabs>
          <w:tab w:val="clear" w:pos="708"/>
          <w:tab w:val="left" w:pos="567" w:leader="none"/>
        </w:tabs>
        <w:jc w:val="both"/>
        <w:rPr>
          <w:rFonts w:ascii="Arial" w:hAnsi="Arial" w:eastAsia="Arial" w:cs="Arial"/>
          <w:b/>
          <w:bCs/>
          <w:u w:val="single"/>
        </w:rPr>
      </w:pPr>
      <w:r>
        <w:rPr>
          <w:rFonts w:eastAsia="Arial" w:cs="Arial" w:ascii="Arial" w:hAnsi="Arial"/>
          <w:b/>
          <w:bCs/>
          <w:u w:val="single"/>
        </w:rPr>
      </w:r>
    </w:p>
    <w:p>
      <w:pPr>
        <w:pStyle w:val="Normal"/>
        <w:tabs>
          <w:tab w:val="clear" w:pos="708"/>
          <w:tab w:val="left" w:pos="567" w:leader="none"/>
        </w:tabs>
        <w:spacing w:before="0" w:after="160"/>
        <w:jc w:val="both"/>
        <w:rPr>
          <w:rFonts w:ascii="Arial" w:hAnsi="Arial" w:eastAsia="Arial" w:cs="Arial"/>
          <w:b/>
          <w:bCs/>
          <w:u w:val="single"/>
        </w:rPr>
      </w:pPr>
      <w:r>
        <w:rPr>
          <w:rFonts w:eastAsia="Arial" w:cs="Arial" w:ascii="Arial" w:hAnsi="Arial"/>
          <w:b/>
          <w:bCs/>
          <w:u w:val="single"/>
        </w:rPr>
      </w:r>
    </w:p>
    <w:sectPr>
      <w:headerReference w:type="default" r:id="rId4"/>
      <w:footerReference w:type="default" r:id="rId5"/>
      <w:footnotePr>
        <w:numFmt w:val="decimal"/>
      </w:footnotePr>
      <w:type w:val="nextPage"/>
      <w:pgSz w:w="11906" w:h="16838"/>
      <w:pgMar w:left="1417" w:right="1417" w:gutter="0" w:header="708" w:top="1417" w:footer="708" w:bottom="1417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Symbol">
    <w:charset w:val="ee"/>
    <w:family w:val="roman"/>
    <w:pitch w:val="variable"/>
  </w:font>
  <w:font w:name="Courier New">
    <w:charset w:val="ee"/>
    <w:family w:val="roman"/>
    <w:pitch w:val="variable"/>
  </w:font>
  <w:font w:name="Wingdings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Tahoma">
    <w:charset w:val="ee"/>
    <w:family w:val="roman"/>
    <w:pitch w:val="variable"/>
  </w:font>
  <w:font w:name="Arial">
    <w:charset w:val="ee"/>
    <w:family w:val="roman"/>
    <w:pitch w:val="variable"/>
  </w:font>
  <w:font w:name="Calibri">
    <w:charset w:val="01"/>
    <w:family w:val="swiss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W w:w="9426" w:type="dxa"/>
      <w:jc w:val="left"/>
      <w:tblInd w:w="70" w:type="dxa"/>
      <w:tblLayout w:type="fixed"/>
      <w:tblCellMar>
        <w:top w:w="0" w:type="dxa"/>
        <w:left w:w="70" w:type="dxa"/>
        <w:bottom w:w="0" w:type="dxa"/>
        <w:right w:w="70" w:type="dxa"/>
      </w:tblCellMar>
      <w:tblLook w:firstRow="0" w:noVBand="0" w:lastRow="0" w:firstColumn="0" w:lastColumn="0" w:noHBand="0" w:val="0000"/>
    </w:tblPr>
    <w:tblGrid>
      <w:gridCol w:w="968"/>
      <w:gridCol w:w="2219"/>
      <w:gridCol w:w="5387"/>
      <w:gridCol w:w="851"/>
    </w:tblGrid>
    <w:tr>
      <w:trPr/>
      <w:tc>
        <w:tcPr>
          <w:tcW w:w="968" w:type="dxa"/>
          <w:tcBorders>
            <w:top w:val="single" w:sz="4" w:space="0" w:color="000000"/>
          </w:tcBorders>
        </w:tcPr>
        <w:p>
          <w:pPr>
            <w:pStyle w:val="Footer"/>
            <w:rPr>
              <w:sz w:val="20"/>
            </w:rPr>
          </w:pPr>
          <w:r>
            <w:rPr>
              <w:sz w:val="20"/>
            </w:rPr>
            <w:t>Verzia:</w:t>
          </w:r>
        </w:p>
      </w:tc>
      <w:tc>
        <w:tcPr>
          <w:tcW w:w="2219" w:type="dxa"/>
          <w:tcBorders>
            <w:top w:val="single" w:sz="4" w:space="0" w:color="000000"/>
          </w:tcBorders>
        </w:tcPr>
        <w:p>
          <w:pPr>
            <w:pStyle w:val="Footer"/>
            <w:rPr>
              <w:sz w:val="20"/>
            </w:rPr>
          </w:pPr>
          <w:r>
            <w:rPr>
              <w:sz w:val="20"/>
            </w:rPr>
            <w:t>V.</w:t>
          </w:r>
        </w:p>
      </w:tc>
      <w:tc>
        <w:tcPr>
          <w:tcW w:w="5387" w:type="dxa"/>
          <w:tcBorders>
            <w:top w:val="single" w:sz="4" w:space="0" w:color="000000"/>
          </w:tcBorders>
        </w:tcPr>
        <w:p>
          <w:pPr>
            <w:pStyle w:val="Char"/>
            <w:spacing w:before="0" w:after="0"/>
            <w:jc w:val="right"/>
            <w:rPr>
              <w:lang w:val="sk-SK"/>
            </w:rPr>
          </w:pPr>
          <w:r>
            <w:rPr>
              <w:lang w:val="sk-SK"/>
            </w:rPr>
          </w:r>
        </w:p>
      </w:tc>
      <w:tc>
        <w:tcPr>
          <w:tcW w:w="851" w:type="dxa"/>
          <w:tcBorders>
            <w:top w:val="single" w:sz="4" w:space="0" w:color="000000"/>
          </w:tcBorders>
        </w:tcPr>
        <w:p>
          <w:pPr>
            <w:pStyle w:val="Footer"/>
            <w:tabs>
              <w:tab w:val="center" w:pos="4536" w:leader="none"/>
              <w:tab w:val="right" w:pos="5030" w:leader="none"/>
              <w:tab w:val="right" w:pos="9072" w:leader="none"/>
            </w:tabs>
            <w:jc w:val="right"/>
            <w:rPr>
              <w:sz w:val="20"/>
            </w:rPr>
          </w:pPr>
          <w:r>
            <w:rPr>
              <w:sz w:val="20"/>
            </w:rPr>
            <w:fldChar w:fldCharType="begin"/>
          </w:r>
          <w:r>
            <w:rPr>
              <w:sz w:val="20"/>
            </w:rPr>
            <w:instrText xml:space="preserve"> PAGE </w:instrText>
          </w:r>
          <w:r>
            <w:rPr>
              <w:sz w:val="20"/>
            </w:rPr>
            <w:fldChar w:fldCharType="separate"/>
          </w:r>
          <w:r>
            <w:rPr>
              <w:sz w:val="20"/>
            </w:rPr>
            <w:t>5</w:t>
          </w:r>
          <w:r>
            <w:rPr>
              <w:sz w:val="20"/>
            </w:rPr>
            <w:fldChar w:fldCharType="end"/>
          </w:r>
          <w:r>
            <w:rPr>
              <w:sz w:val="20"/>
            </w:rPr>
            <w:t>/</w:t>
          </w:r>
          <w:r>
            <w:rPr>
              <w:sz w:val="20"/>
            </w:rPr>
            <w:fldChar w:fldCharType="begin"/>
          </w:r>
          <w:r>
            <w:rPr>
              <w:sz w:val="20"/>
            </w:rPr>
            <w:instrText xml:space="preserve"> NUMPAGES </w:instrText>
          </w:r>
          <w:r>
            <w:rPr>
              <w:sz w:val="20"/>
            </w:rPr>
            <w:fldChar w:fldCharType="separate"/>
          </w:r>
          <w:r>
            <w:rPr>
              <w:sz w:val="20"/>
            </w:rPr>
            <w:t>5</w:t>
          </w:r>
          <w:r>
            <w:rPr>
              <w:sz w:val="20"/>
            </w:rPr>
            <w:fldChar w:fldCharType="end"/>
          </w:r>
        </w:p>
      </w:tc>
    </w:tr>
  </w:tbl>
  <w:p>
    <w:pPr>
      <w:pStyle w:val="Footer"/>
      <w:rPr/>
    </w:pPr>
    <w:r>
      <w:rPr/>
    </w:r>
  </w:p>
</w:ftr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FootnoteText"/>
        <w:ind w:left="0"/>
        <w:jc w:val="both"/>
        <w:rPr/>
      </w:pPr>
      <w:r>
        <w:rPr>
          <w:rStyle w:val="Znakyprepoznmkupodiarou"/>
        </w:rPr>
        <w:footnoteRef/>
      </w:r>
      <w:r>
        <w:rPr/>
        <w:t xml:space="preserve"> </w:t>
      </w:r>
      <w:r>
        <w:rPr>
          <w:rFonts w:eastAsia="Times New Roman" w:cs="Times New Roman"/>
          <w:color w:themeColor="text1" w:themeTint="a5" w:val="000000"/>
          <w:sz w:val="18"/>
          <w:szCs w:val="18"/>
          <w:lang w:eastAsia="sk-SK"/>
        </w:rPr>
        <w:t>Len v prípade predloženia po schválení ŽoNFP.</w:t>
      </w:r>
    </w:p>
  </w:footnote>
  <w:footnote w:id="3">
    <w:p>
      <w:pPr>
        <w:pStyle w:val="FootnoteText"/>
        <w:ind w:left="0"/>
        <w:jc w:val="both"/>
        <w:rPr/>
      </w:pPr>
      <w:r>
        <w:rPr>
          <w:rStyle w:val="Znakyprepoznmkupodiarou"/>
        </w:rPr>
        <w:footnoteRef/>
      </w:r>
      <w:r>
        <w:rPr/>
        <w:t xml:space="preserve"> </w:t>
      </w:r>
      <w:r>
        <w:rPr>
          <w:rFonts w:eastAsia="Times New Roman" w:cs="Times New Roman"/>
          <w:color w:themeColor="text1" w:themeTint="a5" w:val="000000"/>
          <w:sz w:val="18"/>
          <w:szCs w:val="18"/>
          <w:lang w:eastAsia="sk-SK"/>
        </w:rPr>
        <w:t>Nehodiace sa preškrtnite.</w:t>
      </w:r>
    </w:p>
  </w:footnote>
  <w:footnote w:id="4">
    <w:p>
      <w:pPr>
        <w:pStyle w:val="FootnoteText"/>
        <w:ind w:left="0"/>
        <w:jc w:val="both"/>
        <w:rPr/>
      </w:pPr>
      <w:r>
        <w:rPr>
          <w:rStyle w:val="Znakyprepoznmkupodiarou"/>
        </w:rPr>
        <w:footnoteRef/>
      </w:r>
      <w:r>
        <w:rPr/>
        <w:t xml:space="preserve"> </w:t>
      </w:r>
      <w:r>
        <w:rPr>
          <w:rFonts w:eastAsia="Times New Roman" w:cs="Times New Roman"/>
          <w:color w:themeColor="text1" w:themeTint="a5" w:val="000000"/>
          <w:sz w:val="18"/>
          <w:szCs w:val="18"/>
          <w:lang w:eastAsia="sk-SK"/>
        </w:rPr>
        <w:t>Nehodiace sa preškrtnite - áno ostáva, ak ide o výzvu s predĺženou lehotou.</w:t>
      </w:r>
    </w:p>
  </w:footnote>
  <w:footnote w:id="5">
    <w:p>
      <w:pPr>
        <w:pStyle w:val="FootnoteText"/>
        <w:ind w:left="0"/>
        <w:jc w:val="both"/>
        <w:rPr/>
      </w:pPr>
      <w:r>
        <w:rPr>
          <w:rStyle w:val="Znakyprepoznmkupodiarou"/>
        </w:rPr>
        <w:footnoteRef/>
      </w:r>
      <w:r>
        <w:rPr/>
        <w:t xml:space="preserve"> </w:t>
      </w:r>
      <w:r>
        <w:rPr>
          <w:rFonts w:eastAsia="Times New Roman" w:cs="Times New Roman"/>
          <w:color w:themeColor="text1" w:themeTint="a5" w:val="000000"/>
          <w:sz w:val="18"/>
          <w:szCs w:val="18"/>
          <w:lang w:eastAsia="sk-SK"/>
        </w:rPr>
        <w:t>Definuje sa spôsob predloženia – typ dokumentu, ktorý má potencionálny dodávateľ predložiť.</w:t>
      </w:r>
    </w:p>
  </w:footnote>
  <w:footnote w:id="6">
    <w:p>
      <w:pPr>
        <w:pStyle w:val="FootnoteText"/>
        <w:ind w:left="0"/>
        <w:jc w:val="both"/>
        <w:rPr>
          <w:rFonts w:ascii="Calibri" w:hAnsi="Calibri" w:eastAsia="Times New Roman" w:cs="Times New Roman"/>
          <w:color w:val="000000"/>
          <w:sz w:val="18"/>
          <w:szCs w:val="18"/>
          <w:lang w:eastAsia="sk-SK"/>
        </w:rPr>
      </w:pPr>
      <w:r>
        <w:rPr>
          <w:rStyle w:val="Znakyprepoznmkupodiarou"/>
        </w:rPr>
        <w:footnoteRef/>
      </w:r>
      <w:r>
        <w:rPr>
          <w:sz w:val="18"/>
          <w:szCs w:val="18"/>
        </w:rPr>
        <w:t xml:space="preserve"> </w:t>
      </w:r>
      <w:r>
        <w:rPr>
          <w:rFonts w:eastAsia="Times New Roman" w:cs="Times New Roman"/>
          <w:color w:themeColor="text1" w:themeTint="a5" w:val="000000"/>
          <w:sz w:val="18"/>
          <w:szCs w:val="18"/>
          <w:lang w:eastAsia="sk-SK"/>
        </w:rPr>
        <w:t>Doplniť a špecifikovať, čo má potencionálny dodávateľ preukázať a akou formou, ak je relevantné.</w:t>
      </w:r>
    </w:p>
  </w:footnote>
  <w:footnote w:id="7">
    <w:p>
      <w:pPr>
        <w:pStyle w:val="FootnoteText"/>
        <w:ind w:left="0"/>
        <w:jc w:val="both"/>
        <w:rPr>
          <w:rFonts w:ascii="Calibri" w:hAnsi="Calibri" w:eastAsia="Times New Roman" w:cs="Times New Roman"/>
          <w:color w:val="000000"/>
          <w:sz w:val="18"/>
          <w:szCs w:val="18"/>
          <w:lang w:eastAsia="sk-SK"/>
        </w:rPr>
      </w:pPr>
      <w:r>
        <w:rPr>
          <w:rStyle w:val="Znakyprepoznmkupodiarou"/>
        </w:rPr>
        <w:footnoteRef/>
      </w:r>
      <w:r>
        <w:rPr>
          <w:sz w:val="18"/>
          <w:szCs w:val="18"/>
        </w:rPr>
        <w:t xml:space="preserve"> </w:t>
      </w:r>
      <w:r>
        <w:rPr>
          <w:rFonts w:eastAsia="Times New Roman" w:cs="Times New Roman"/>
          <w:color w:themeColor="text1" w:themeTint="a5" w:val="000000"/>
          <w:sz w:val="18"/>
          <w:szCs w:val="18"/>
          <w:lang w:eastAsia="sk-SK"/>
        </w:rPr>
        <w:t>Doplniť, ak je relevantné.</w:t>
      </w:r>
    </w:p>
  </w:footnote>
  <w:footnote w:id="8">
    <w:p>
      <w:pPr>
        <w:pStyle w:val="FootnoteText"/>
        <w:ind w:left="0"/>
        <w:jc w:val="both"/>
        <w:rPr/>
      </w:pPr>
      <w:r>
        <w:rPr>
          <w:rStyle w:val="Znakyprepoznmkupodiarou"/>
        </w:rPr>
        <w:footnoteRef/>
      </w:r>
      <w:r>
        <w:rPr>
          <w:rStyle w:val="Znakyprepoznmkupodiarou"/>
        </w:rPr>
        <w:t xml:space="preserve"> </w:t>
      </w:r>
      <w:r>
        <w:rPr>
          <w:rFonts w:eastAsia="Times New Roman" w:cs="Times New Roman"/>
          <w:color w:themeColor="text1" w:themeTint="a5" w:val="000000"/>
          <w:sz w:val="18"/>
          <w:szCs w:val="18"/>
          <w:lang w:eastAsia="sk-SK"/>
        </w:rPr>
        <w:t>Doplniť, ak je relevantné.</w:t>
      </w:r>
    </w:p>
  </w:footnote>
</w:footnote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spacing w:before="0" w:after="240"/>
      <w:rPr>
        <w:sz w:val="18"/>
        <w:szCs w:val="18"/>
      </w:rPr>
    </w:pPr>
    <w:r>
      <w:rPr>
        <w:sz w:val="18"/>
        <w:szCs w:val="18"/>
      </w:rPr>
      <w:t xml:space="preserve">Príloha č. 3                                                                                                                                                      </w:t>
    </w:r>
    <w:r>
      <w:rPr>
        <w:b/>
        <w:bCs/>
        <w:sz w:val="18"/>
        <w:szCs w:val="18"/>
      </w:rPr>
      <w:t>Sekcia projektových podpôr</w:t>
    </w:r>
    <w:r>
      <w:rPr>
        <w:sz w:val="18"/>
        <w:szCs w:val="18"/>
      </w:rPr>
      <w:t xml:space="preserve">                          </w:t>
    </w:r>
  </w:p>
  <w:p>
    <w:pPr>
      <w:pStyle w:val="Footer"/>
      <w:jc w:val="center"/>
      <w:rPr>
        <w:sz w:val="20"/>
      </w:rPr>
    </w:pPr>
    <w:r>
      <w:rPr>
        <w:sz w:val="20"/>
      </w:rPr>
      <w:t xml:space="preserve">K Usmerneniu Pôdohospodárskej platobnej agentúry č. 8/2017 k obstarávaniu tovarov, stavebných prác a služieb financovaných z PRV SR 2014 - 2022 -  Výzva na predkladanie ponúk </w: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/>
    </w:lvl>
  </w:abstractNum>
  <w:abstractNum w:abstractNumId="2"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Calibri" w:hint="default"/>
        <w:rFonts w:cstheme="minorBidi" w:eastAsiaTheme="minorHAnsi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footnotePr>
    <w:numFmt w:val="decimal"/>
    <w:footnote w:id="0"/>
    <w:footnote w:id="1"/>
  </w:footnotePr>
  <w:compat>
    <w:doNotBreakWrappedTables/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sk-SK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uiPriority="0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0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sk-SK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lavikaChar" w:customStyle="1">
    <w:name w:val="Hlavička Char"/>
    <w:basedOn w:val="DefaultParagraphFont"/>
    <w:uiPriority w:val="99"/>
    <w:qFormat/>
    <w:rsid w:val="00590007"/>
    <w:rPr/>
  </w:style>
  <w:style w:type="character" w:styleId="PtaChar" w:customStyle="1">
    <w:name w:val="Päta Char"/>
    <w:basedOn w:val="DefaultParagraphFont"/>
    <w:qFormat/>
    <w:rsid w:val="00590007"/>
    <w:rPr/>
  </w:style>
  <w:style w:type="character" w:styleId="Znakyprepoznmkupodiarou">
    <w:name w:val="Znaky pre poznámku pod čiarou"/>
    <w:unhideWhenUsed/>
    <w:qFormat/>
    <w:rsid w:val="00590007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Zkladntext2Char" w:customStyle="1">
    <w:name w:val="Základný text 2 Char"/>
    <w:basedOn w:val="DefaultParagraphFont"/>
    <w:link w:val="BodyText2"/>
    <w:qFormat/>
    <w:rsid w:val="00590007"/>
    <w:rPr>
      <w:rFonts w:ascii="Times New Roman" w:hAnsi="Times New Roman" w:eastAsia="Times New Roman" w:cs="Times New Roman"/>
      <w:b/>
      <w:bCs/>
      <w:sz w:val="24"/>
      <w:szCs w:val="24"/>
      <w:lang w:eastAsia="cs-CZ"/>
    </w:rPr>
  </w:style>
  <w:style w:type="character" w:styleId="TextpoznmkypodiarouChar" w:customStyle="1">
    <w:name w:val="Text poznámky pod čiarou Char"/>
    <w:basedOn w:val="DefaultParagraphFont"/>
    <w:uiPriority w:val="99"/>
    <w:qFormat/>
    <w:rsid w:val="00590007"/>
    <w:rPr>
      <w:rFonts w:eastAsia="" w:eastAsiaTheme="minorEastAsia"/>
      <w:color w:themeColor="text1" w:themeTint="a5" w:val="5A5A5A"/>
      <w:sz w:val="20"/>
      <w:szCs w:val="20"/>
    </w:rPr>
  </w:style>
  <w:style w:type="character" w:styleId="Hyperlink">
    <w:name w:val="Hyperlink"/>
    <w:rPr>
      <w:color w:val="000080"/>
      <w:u w:val="single"/>
    </w:rPr>
  </w:style>
  <w:style w:type="character" w:styleId="WW8Num11z0">
    <w:name w:val="WW8Num11z0"/>
    <w:qFormat/>
    <w:rPr>
      <w:rFonts w:ascii="Symbol" w:hAnsi="Symbol" w:cs="Symbol"/>
    </w:rPr>
  </w:style>
  <w:style w:type="character" w:styleId="WW8Num11z1">
    <w:name w:val="WW8Num11z1"/>
    <w:qFormat/>
    <w:rPr>
      <w:rFonts w:ascii="Courier New" w:hAnsi="Courier New" w:cs="Courier New"/>
    </w:rPr>
  </w:style>
  <w:style w:type="character" w:styleId="WW8Num11z2">
    <w:name w:val="WW8Num11z2"/>
    <w:qFormat/>
    <w:rPr>
      <w:rFonts w:ascii="Wingdings" w:hAnsi="Wingdings" w:cs="Wingdings"/>
    </w:rPr>
  </w:style>
  <w:style w:type="character" w:styleId="Znakyprekoncovpoznmku">
    <w:name w:val="Znaky pre koncovú poznámku"/>
    <w:qFormat/>
    <w:rPr/>
  </w:style>
  <w:style w:type="character" w:styleId="EndnoteReference">
    <w:name w:val="Endnote Reference"/>
    <w:rPr>
      <w:vertAlign w:val="superscript"/>
    </w:rPr>
  </w:style>
  <w:style w:type="paragraph" w:styleId="Nadpis">
    <w:name w:val="Nadpis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Hlavikaapta">
    <w:name w:val="Hlavička a päta"/>
    <w:basedOn w:val="Normal"/>
    <w:qFormat/>
    <w:pPr/>
    <w:rPr/>
  </w:style>
  <w:style w:type="paragraph" w:styleId="Header">
    <w:name w:val="Header"/>
    <w:basedOn w:val="Normal"/>
    <w:link w:val="HlavikaChar"/>
    <w:uiPriority w:val="99"/>
    <w:unhideWhenUsed/>
    <w:rsid w:val="00590007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PtaChar"/>
    <w:unhideWhenUsed/>
    <w:rsid w:val="00590007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Char" w:customStyle="1">
    <w:name w:val="Char"/>
    <w:basedOn w:val="Normal"/>
    <w:qFormat/>
    <w:rsid w:val="00590007"/>
    <w:pPr>
      <w:spacing w:lineRule="exact" w:line="240"/>
    </w:pPr>
    <w:rPr>
      <w:rFonts w:ascii="Tahoma" w:hAnsi="Tahoma" w:eastAsia="Times New Roman" w:cs="Times New Roman"/>
      <w:sz w:val="20"/>
      <w:szCs w:val="20"/>
      <w:lang w:val="en-US"/>
    </w:rPr>
  </w:style>
  <w:style w:type="paragraph" w:styleId="BodyText2">
    <w:name w:val="Body Text 2"/>
    <w:basedOn w:val="Normal"/>
    <w:link w:val="Zkladntext2Char"/>
    <w:qFormat/>
    <w:rsid w:val="00590007"/>
    <w:pPr>
      <w:spacing w:lineRule="auto" w:line="240" w:before="0" w:after="0"/>
    </w:pPr>
    <w:rPr>
      <w:rFonts w:ascii="Times New Roman" w:hAnsi="Times New Roman" w:eastAsia="Times New Roman" w:cs="Times New Roman"/>
      <w:b/>
      <w:bCs/>
      <w:sz w:val="24"/>
      <w:szCs w:val="24"/>
      <w:lang w:eastAsia="cs-CZ"/>
    </w:rPr>
  </w:style>
  <w:style w:type="paragraph" w:styleId="FootnoteText">
    <w:name w:val="Footnote Text"/>
    <w:basedOn w:val="Normal"/>
    <w:link w:val="TextpoznmkypodiarouChar"/>
    <w:uiPriority w:val="99"/>
    <w:unhideWhenUsed/>
    <w:rsid w:val="00590007"/>
    <w:pPr>
      <w:spacing w:lineRule="auto" w:line="240" w:before="0" w:after="0"/>
      <w:ind w:left="2160"/>
    </w:pPr>
    <w:rPr>
      <w:rFonts w:eastAsia="" w:eastAsiaTheme="minorEastAsia"/>
      <w:color w:themeColor="text1" w:themeTint="a5" w:val="5A5A5A"/>
      <w:sz w:val="20"/>
      <w:szCs w:val="20"/>
    </w:rPr>
  </w:style>
  <w:style w:type="paragraph" w:styleId="NoSpacing">
    <w:name w:val="No Spacing"/>
    <w:uiPriority w:val="1"/>
    <w:qFormat/>
    <w:rsid w:val="00590007"/>
    <w:pPr>
      <w:widowControl/>
      <w:suppressAutoHyphens w:val="true"/>
      <w:bidi w:val="0"/>
      <w:spacing w:lineRule="auto" w:line="240"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sk-SK" w:eastAsia="en-US" w:bidi="ar-SA"/>
    </w:rPr>
  </w:style>
  <w:style w:type="paragraph" w:styleId="ListParagraph">
    <w:name w:val="List Paragraph"/>
    <w:basedOn w:val="Normal"/>
    <w:uiPriority w:val="34"/>
    <w:qFormat/>
    <w:rsid w:val="00590007"/>
    <w:pPr>
      <w:spacing w:before="0" w:after="160"/>
      <w:ind w:left="72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numbering" w:styleId="WW8Num11">
    <w:name w:val="WW8Num11"/>
    <w:qFormat/>
  </w:style>
  <w:style w:type="table" w:default="1" w:styleId="Normlnatabu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Mriekatabuky">
    <w:name w:val="Table Grid"/>
    <w:basedOn w:val="Normlnatabuka"/>
    <w:uiPriority w:val="39"/>
    <w:rsid w:val="00590007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josephine.proebiz.com/sk/tender/52975/summary" TargetMode="External"/><Relationship Id="rId3" Type="http://schemas.openxmlformats.org/officeDocument/2006/relationships/hyperlink" Target="https://josephine.proebiz.com/sk/tender/47211/summary" TargetMode="Externa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footnotes" Target="footnotes.xml"/><Relationship Id="rId7" Type="http://schemas.openxmlformats.org/officeDocument/2006/relationships/numbering" Target="numbering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<Relationship Id="rId11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Motív balíka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5D76C1-18BA-4140-9288-50D7949502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Application>LibreOffice/7.6.4.1$Windows_X86_64 LibreOffice_project/e19e193f88cd6c0525a17fb7a176ed8e6a3e2aa1</Application>
  <AppVersion>15.0000</AppVersion>
  <Pages>5</Pages>
  <Words>1149</Words>
  <Characters>7801</Characters>
  <CharactersWithSpaces>9100</CharactersWithSpaces>
  <Paragraphs>128</Paragraphs>
  <Company>PPA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2023-09-14T08:25:00Z</dcterms:created>
  <dc:creator>Uhlár René</dc:creator>
  <dc:description/>
  <dc:language>sk-SK</dc:language>
  <cp:lastModifiedBy/>
  <dcterms:modified xsi:type="dcterms:W3CDTF">2024-02-15T16:27:14Z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