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081A90F2" w:rsidR="00370429" w:rsidRPr="0099493F" w:rsidRDefault="0041514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41514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Automatická identifikácia zvierat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2B0B611E" w14:textId="77777777" w:rsidR="0041514B" w:rsidRPr="0041514B" w:rsidRDefault="0041514B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>Poľnohospodárske družstvo so sídlom v Smrečanoch</w:t>
            </w:r>
          </w:p>
          <w:p w14:paraId="6E9995E3" w14:textId="125847BD" w:rsidR="0041514B" w:rsidRPr="0041514B" w:rsidRDefault="0041514B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 xml:space="preserve"> 032 05 Smrečany</w:t>
            </w:r>
          </w:p>
          <w:p w14:paraId="1D962271" w14:textId="356833E2" w:rsidR="00370429" w:rsidRPr="00F761E5" w:rsidRDefault="0041514B" w:rsidP="004151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ČO: </w:t>
            </w:r>
            <w:r w:rsidRPr="0041514B">
              <w:rPr>
                <w:rFonts w:asciiTheme="minorHAnsi" w:hAnsiTheme="minorHAnsi" w:cstheme="minorHAnsi"/>
                <w:sz w:val="24"/>
                <w:szCs w:val="24"/>
              </w:rPr>
              <w:t>00195758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3BF5BDDF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D811454" w14:textId="77777777" w:rsidR="002C041E" w:rsidRDefault="0034552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  <w:p w14:paraId="7628F43F" w14:textId="0041C563" w:rsidR="0034552F" w:rsidRPr="003C3DA3" w:rsidRDefault="0034552F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05E942BB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4552F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3A03260" w:rsidR="0034552F" w:rsidRPr="003C3DA3" w:rsidRDefault="0034552F" w:rsidP="0034552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53B94718" w:rsidR="0034552F" w:rsidRPr="00CD66D8" w:rsidRDefault="0034552F" w:rsidP="0034552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6F6FE91E" w:rsidR="006120A7" w:rsidRPr="0011272A" w:rsidRDefault="006120A7" w:rsidP="00925AD3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925AD3" w:rsidRPr="00925AD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Automatická identifikácia zvierat</w:t>
            </w:r>
          </w:p>
        </w:tc>
      </w:tr>
      <w:tr w:rsidR="00E01EB6" w:rsidRPr="00B704C5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D020CD" w:rsidRPr="00B704C5" w14:paraId="5C36A23A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D020CD" w:rsidRPr="00EE2A43" w:rsidRDefault="00D020CD" w:rsidP="00D020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D1E0C" w14:textId="40898C5B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Automatická identifikácia zvierat na dojárni s ISO štandardom, kompatibilná s existujúcimi elektronickými jednotkami</w:t>
            </w:r>
            <w:r w:rsidR="001224FE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4FE" w:rsidRPr="001224FE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1 komplet</w:t>
            </w:r>
          </w:p>
        </w:tc>
      </w:tr>
      <w:tr w:rsidR="00D020CD" w:rsidRPr="00B704C5" w14:paraId="348CE215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FA6C41" w14:textId="77777777" w:rsidR="00D020CD" w:rsidRPr="00EE2A43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F005" w14:textId="77DA4603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Technologický počítač zabezpečujúci obojsmernú výmenu údajov medzi elektronickými jednotkami v dojárni a softvérom manažmentu dojárne, prepojený s automatickou identifikáciou zvierat</w:t>
            </w:r>
            <w:r w:rsidR="001224FE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4FE" w:rsidRPr="001224FE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</w:tr>
      <w:tr w:rsidR="00D020CD" w:rsidRPr="00B704C5" w14:paraId="121FEC02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CA198C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3909" w14:textId="0BBCE1D2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Softvér pre manažment dojárne s monitorovaním práce dojičov a prepojením na existujúci softvér manažmentu stáda</w:t>
            </w:r>
            <w:r w:rsidR="001224FE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4FE" w:rsidRPr="001224FE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</w:tr>
      <w:tr w:rsidR="00D020CD" w:rsidRPr="00B704C5" w14:paraId="156E67F4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115D74BD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Panel identifikácie </w:t>
            </w: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  <w:t xml:space="preserve">ISO ID </w:t>
            </w: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s prepojením na technologický počítač a rámovú anténu</w:t>
            </w:r>
            <w:r w:rsidR="001224FE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4FE" w:rsidRPr="001224FE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2 ks</w:t>
            </w:r>
          </w:p>
        </w:tc>
      </w:tr>
      <w:tr w:rsidR="00D020CD" w:rsidRPr="00B704C5" w14:paraId="7EA61DB1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49543F44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Panel identifikácie </w:t>
            </w: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  <w:t xml:space="preserve">ISO ID </w:t>
            </w: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triediaca brána</w:t>
            </w:r>
            <w:r w:rsidR="001224FE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4FE" w:rsidRPr="001224FE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 xml:space="preserve">1 ks </w:t>
            </w:r>
          </w:p>
        </w:tc>
      </w:tr>
      <w:tr w:rsidR="00D020CD" w:rsidRPr="00B704C5" w14:paraId="5BBB5AA9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DFC19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9B1F972" w14:textId="400BEDEB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Anténa rámová ISO štandard na identifikáciu zvierat</w:t>
            </w:r>
            <w:r w:rsidR="001224FE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24FE" w:rsidRPr="001224FE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3 ks</w:t>
            </w:r>
          </w:p>
        </w:tc>
      </w:tr>
      <w:tr w:rsidR="00D020CD" w:rsidRPr="00B704C5" w14:paraId="39F98ED3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1F3D7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40D28" w14:textId="48DBF275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Integrovaný obvod pre existujúce elektronické jednotky v</w:t>
            </w:r>
            <w:r w:rsidR="001224FE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 </w:t>
            </w: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dojárni</w:t>
            </w:r>
            <w:r w:rsidR="001224FE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4906" w:rsidRPr="009C4906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18 ks</w:t>
            </w:r>
          </w:p>
        </w:tc>
      </w:tr>
      <w:tr w:rsidR="00D020CD" w:rsidRPr="00B704C5" w14:paraId="20266B23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8FF95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49BB6" w14:textId="1CC29224" w:rsidR="00D020CD" w:rsidRPr="00B704C5" w:rsidRDefault="00CC7B57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Napájací </w:t>
            </w:r>
            <w:r w:rsidR="00D020CD"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zdroj k identifikácii 230V/24V min 100VA</w:t>
            </w:r>
            <w:r w:rsidR="009C490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246984" w:rsidRPr="00246984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2 ks</w:t>
            </w:r>
          </w:p>
        </w:tc>
      </w:tr>
      <w:tr w:rsidR="00D020CD" w:rsidRPr="00B704C5" w14:paraId="6C7A46B2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E545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0195F" w14:textId="4993E401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Int</w:t>
            </w:r>
            <w:r w:rsidR="00246984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eligentný respondér pre dojnice </w:t>
            </w:r>
            <w:r w:rsidR="00246984" w:rsidRPr="00246984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220 ks</w:t>
            </w:r>
          </w:p>
        </w:tc>
      </w:tr>
      <w:tr w:rsidR="00D020CD" w:rsidRPr="00B704C5" w14:paraId="1091E462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71E2A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C64C0" w14:textId="499ED780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Inteligentný krčný respondér pre dojnice s funkciou identifikácie na dojárni na základe ISO štandardu</w:t>
            </w:r>
            <w:r w:rsidR="00246984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020CD" w:rsidRPr="00B704C5" w14:paraId="61E84DCA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33C8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2613" w14:textId="0694D378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Pamäť respondéra na uchovanie údajov</w:t>
            </w:r>
            <w:r w:rsidR="00094687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94687" w:rsidRPr="00725797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min. 24 hod</w:t>
            </w:r>
          </w:p>
        </w:tc>
      </w:tr>
      <w:tr w:rsidR="00D020CD" w:rsidRPr="00B704C5" w14:paraId="2FA8F486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22A3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C8E6" w14:textId="5C18DECA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Zber/aktualizácia údajov (anténa-respondér)</w:t>
            </w:r>
            <w:r w:rsidR="00094687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797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797" w:rsidRPr="00725797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max. každých 20 min</w:t>
            </w:r>
          </w:p>
        </w:tc>
      </w:tr>
      <w:tr w:rsidR="00D020CD" w:rsidRPr="00B704C5" w14:paraId="59A00697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991C4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8DE2C" w14:textId="4B02C8A7" w:rsidR="00D020CD" w:rsidRPr="00EE0125" w:rsidRDefault="00D020CD" w:rsidP="00D020CD">
            <w:pP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EE0125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Detekcia ruje kráv</w:t>
            </w:r>
          </w:p>
        </w:tc>
      </w:tr>
      <w:tr w:rsidR="00D020CD" w:rsidRPr="00B704C5" w14:paraId="0EE144C2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A911" w14:textId="77777777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07F5" w14:textId="44D892C6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Zaznamenávanie času zrania a prežúvania kráv</w:t>
            </w:r>
          </w:p>
        </w:tc>
      </w:tr>
      <w:tr w:rsidR="00D020CD" w:rsidRPr="00B704C5" w14:paraId="58A865F3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279F" w14:textId="3FD13218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E651" w14:textId="4383832E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Systém detekcie do 1 ustajňovacieho priestoru:</w:t>
            </w:r>
          </w:p>
        </w:tc>
      </w:tr>
      <w:tr w:rsidR="00D020CD" w:rsidRPr="00B704C5" w14:paraId="4CDD0EF3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01C7" w14:textId="577B9909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D1BB8" w14:textId="274C5FF8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Kompatibilita systému s existujúcou dojárňou</w:t>
            </w:r>
          </w:p>
        </w:tc>
      </w:tr>
      <w:tr w:rsidR="00D020CD" w:rsidRPr="00B704C5" w14:paraId="616614F7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6774" w14:textId="3BAAD1B3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4AB8D" w14:textId="7070EF48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Kontrolná jednotka</w:t>
            </w:r>
            <w:r w:rsidR="00EE0125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0125" w:rsidRPr="00EE0125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</w:tr>
      <w:tr w:rsidR="00D020CD" w:rsidRPr="00B704C5" w14:paraId="5C72F020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3248" w14:textId="233B9B4B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B2E0" w14:textId="37988605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Čítačka antény pre načítavanie údajov z respondérov v ustajňovacích objektoch</w:t>
            </w:r>
            <w:r w:rsidR="00EE0125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0125" w:rsidRPr="00EE0125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</w:p>
        </w:tc>
      </w:tr>
      <w:tr w:rsidR="00D020CD" w:rsidRPr="00B704C5" w14:paraId="3CC5894E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D0AB" w14:textId="40C148DD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C102F" w14:textId="1DB3CC2F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  <w:lang w:val="en-US" w:eastAsia="en-US" w:bidi="en-US"/>
              </w:rPr>
              <w:t xml:space="preserve">ID </w:t>
            </w: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anténa s rádiovou frekvenciou</w:t>
            </w:r>
            <w:r w:rsidR="00EE0125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0125" w:rsidRPr="00EE0125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1 ks</w:t>
            </w:r>
            <w:r w:rsidR="00EE0125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020CD" w:rsidRPr="00B704C5" w14:paraId="10C03E2A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51F4" w14:textId="52151E1A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19E3C" w14:textId="15ACE378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Dosah signálu 1 antény </w:t>
            </w:r>
            <w:r w:rsidR="00EE0125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–</w:t>
            </w: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rádius</w:t>
            </w:r>
            <w:r w:rsidR="00EE0125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E0125" w:rsidRPr="00EE0125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min. 75 m</w:t>
            </w:r>
          </w:p>
        </w:tc>
      </w:tr>
      <w:tr w:rsidR="00D020CD" w:rsidRPr="00B704C5" w14:paraId="4A9A4279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9272" w14:textId="0F30A0CB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FA4E" w14:textId="1037140A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Softvér s prepojením na softvér manažmentu stáda s nasledovnými funkciami:</w:t>
            </w:r>
          </w:p>
        </w:tc>
      </w:tr>
      <w:tr w:rsidR="00D020CD" w:rsidRPr="00B704C5" w14:paraId="0D0BBAEF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0861" w14:textId="57953AF3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F44B5" w14:textId="2C0884AC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Vyhľadávanie prirodzených rují, tichých rují na základe intenzity a špecifického pohybu kráv</w:t>
            </w:r>
          </w:p>
        </w:tc>
      </w:tr>
      <w:tr w:rsidR="00D020CD" w:rsidRPr="00B704C5" w14:paraId="365E23AA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1AE0" w14:textId="130366C1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6B1C1" w14:textId="5DD6876F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Upozornenie na problémové kravy, ktoré sú bez ruje, s nepravidelnou rujou</w:t>
            </w:r>
          </w:p>
        </w:tc>
      </w:tr>
      <w:tr w:rsidR="00D020CD" w:rsidRPr="00B704C5" w14:paraId="53681795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AEF79" w14:textId="0489B1DD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AF66" w14:textId="77777777" w:rsidR="00D020CD" w:rsidRDefault="00D020CD" w:rsidP="00D020CD">
            <w:pPr>
              <w:jc w:val="center"/>
              <w:rPr>
                <w:rStyle w:val="In"/>
                <w:rFonts w:asciiTheme="minorHAnsi" w:hAnsiTheme="minorHAnsi" w:cstheme="minorHAnsi"/>
                <w:sz w:val="22"/>
                <w:szCs w:val="22"/>
              </w:rPr>
            </w:pPr>
          </w:p>
          <w:p w14:paraId="7111D011" w14:textId="0A169C12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Sledovanie zdravotného stavu kráv</w:t>
            </w:r>
          </w:p>
        </w:tc>
      </w:tr>
      <w:tr w:rsidR="00D020CD" w:rsidRPr="00B704C5" w14:paraId="5886EE68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8F43" w14:textId="31792428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D8E7" w14:textId="206E23DA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Monitorovanie rutiny skupín - prehľad o odchýlkach pohybovej aktivity kráv a prežúvania, upozornenie v prípade výrazných odchýlok, napr. pri zmene kŕmnej dávky a pod.</w:t>
            </w:r>
          </w:p>
        </w:tc>
      </w:tr>
      <w:tr w:rsidR="00D020CD" w:rsidRPr="00B704C5" w14:paraId="75A7D6BD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F97A" w14:textId="0F6CE734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39429" w14:textId="3C621659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Prezeranie údajov cez webové rozhranie</w:t>
            </w:r>
          </w:p>
        </w:tc>
      </w:tr>
      <w:tr w:rsidR="00D020CD" w:rsidRPr="00B704C5" w14:paraId="74256F47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F570" w14:textId="5FEE731B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5AF5E" w14:textId="1A0017FF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Zasielanie notifikácií na email</w:t>
            </w:r>
          </w:p>
        </w:tc>
      </w:tr>
      <w:tr w:rsidR="00D020CD" w:rsidRPr="00B704C5" w14:paraId="5861ED15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F798" w14:textId="59C2BC02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655A" w14:textId="10A545F1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Doprava na miesto dodania</w:t>
            </w:r>
          </w:p>
        </w:tc>
      </w:tr>
      <w:tr w:rsidR="00D020CD" w:rsidRPr="00B704C5" w14:paraId="64357C1B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0DFE" w14:textId="1EB37378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19388" w14:textId="592D4265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Inštalačný materiál (el. káble, chemické hadičky, skrutky, svorky, pásky) podľa potreby</w:t>
            </w:r>
            <w:r w:rsidR="00FB4345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4345" w:rsidRPr="00FB4345">
              <w:rPr>
                <w:rStyle w:val="In"/>
                <w:rFonts w:asciiTheme="minorHAnsi" w:hAnsiTheme="minorHAnsi" w:cstheme="minorHAnsi"/>
                <w:b/>
                <w:sz w:val="22"/>
                <w:szCs w:val="22"/>
              </w:rPr>
              <w:t>1 balík</w:t>
            </w:r>
          </w:p>
        </w:tc>
      </w:tr>
      <w:tr w:rsidR="00D020CD" w:rsidRPr="00B704C5" w14:paraId="25F8A420" w14:textId="77777777" w:rsidTr="006D6006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82DF" w14:textId="4EBD2143" w:rsidR="00D020CD" w:rsidRDefault="00D020CD" w:rsidP="00D020CD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6174681" w14:textId="4A47C671" w:rsidR="00D020CD" w:rsidRPr="00B704C5" w:rsidRDefault="00D020CD" w:rsidP="00D020CD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263A26">
              <w:rPr>
                <w:rStyle w:val="In"/>
                <w:rFonts w:asciiTheme="minorHAnsi" w:hAnsiTheme="minorHAnsi" w:cstheme="minorHAnsi"/>
                <w:sz w:val="22"/>
                <w:szCs w:val="22"/>
              </w:rPr>
              <w:t>Montáž, uvedenie do prevádzky, zaškolenie obsluhy</w:t>
            </w:r>
          </w:p>
        </w:tc>
      </w:tr>
    </w:tbl>
    <w:p w14:paraId="684E5794" w14:textId="77777777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6ED53C13" w14:textId="77777777" w:rsidR="00516A59" w:rsidRDefault="00516A59" w:rsidP="00E86327">
      <w:pPr>
        <w:jc w:val="both"/>
        <w:rPr>
          <w:rFonts w:ascii="Calibri" w:hAnsi="Calibri" w:cs="Calibri"/>
          <w:sz w:val="22"/>
          <w:szCs w:val="22"/>
        </w:rPr>
      </w:pPr>
    </w:p>
    <w:p w14:paraId="00C68E4D" w14:textId="77777777" w:rsidR="00516A59" w:rsidRDefault="00516A59" w:rsidP="00E86327">
      <w:pPr>
        <w:jc w:val="both"/>
        <w:rPr>
          <w:rFonts w:ascii="Calibri" w:hAnsi="Calibri" w:cs="Calibri"/>
          <w:sz w:val="22"/>
          <w:szCs w:val="22"/>
        </w:rPr>
      </w:pPr>
    </w:p>
    <w:p w14:paraId="3073976D" w14:textId="77777777" w:rsidR="00516A59" w:rsidRDefault="00516A5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89CC65" w14:textId="77777777" w:rsidR="00516A59" w:rsidRDefault="00516A5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B4716A5" w14:textId="77777777" w:rsidR="00516A59" w:rsidRDefault="00516A59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77777777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C1BFD96" w14:textId="77777777" w:rsidR="0034552F" w:rsidRDefault="0034552F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8528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489E1F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F03F23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A4105" w14:textId="77777777" w:rsidR="0034552F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34552F" w:rsidRPr="00E86327" w:rsidRDefault="0034552F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76FC4D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02B9DC1C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2F3DD240" w14:textId="77777777" w:rsidR="00CB79C7" w:rsidRDefault="00CB79C7">
      <w:pPr>
        <w:rPr>
          <w:rFonts w:asciiTheme="minorHAnsi" w:hAnsiTheme="minorHAnsi" w:cstheme="minorHAnsi"/>
          <w:sz w:val="22"/>
          <w:szCs w:val="22"/>
        </w:rPr>
      </w:pPr>
    </w:p>
    <w:p w14:paraId="71B79DF1" w14:textId="77777777" w:rsidR="00CB79C7" w:rsidRPr="00B704C5" w:rsidRDefault="00CB79C7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3DAF" w14:textId="77777777" w:rsidR="002814AE" w:rsidRDefault="002814AE" w:rsidP="007E20AA">
      <w:r>
        <w:separator/>
      </w:r>
    </w:p>
  </w:endnote>
  <w:endnote w:type="continuationSeparator" w:id="0">
    <w:p w14:paraId="4B151CEE" w14:textId="77777777" w:rsidR="002814AE" w:rsidRDefault="002814A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FDC3" w14:textId="77777777" w:rsidR="002814AE" w:rsidRDefault="002814AE" w:rsidP="007E20AA">
      <w:r>
        <w:separator/>
      </w:r>
    </w:p>
  </w:footnote>
  <w:footnote w:type="continuationSeparator" w:id="0">
    <w:p w14:paraId="5C17392F" w14:textId="77777777" w:rsidR="002814AE" w:rsidRDefault="002814A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10293">
    <w:abstractNumId w:val="2"/>
  </w:num>
  <w:num w:numId="2" w16cid:durableId="472873723">
    <w:abstractNumId w:val="6"/>
  </w:num>
  <w:num w:numId="3" w16cid:durableId="340084856">
    <w:abstractNumId w:val="1"/>
  </w:num>
  <w:num w:numId="4" w16cid:durableId="1893157667">
    <w:abstractNumId w:val="0"/>
  </w:num>
  <w:num w:numId="5" w16cid:durableId="2057468536">
    <w:abstractNumId w:val="4"/>
  </w:num>
  <w:num w:numId="6" w16cid:durableId="1187871993">
    <w:abstractNumId w:val="5"/>
  </w:num>
  <w:num w:numId="7" w16cid:durableId="219371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94687"/>
    <w:rsid w:val="000E5C94"/>
    <w:rsid w:val="0010105B"/>
    <w:rsid w:val="0011272A"/>
    <w:rsid w:val="001224FE"/>
    <w:rsid w:val="001900DA"/>
    <w:rsid w:val="00204529"/>
    <w:rsid w:val="00246984"/>
    <w:rsid w:val="002814AE"/>
    <w:rsid w:val="00291D4D"/>
    <w:rsid w:val="002C041E"/>
    <w:rsid w:val="002C51C5"/>
    <w:rsid w:val="002E13EB"/>
    <w:rsid w:val="00336D0C"/>
    <w:rsid w:val="0034552F"/>
    <w:rsid w:val="00353AE5"/>
    <w:rsid w:val="003575F9"/>
    <w:rsid w:val="00370429"/>
    <w:rsid w:val="003A3C6B"/>
    <w:rsid w:val="003C3DA3"/>
    <w:rsid w:val="003E4279"/>
    <w:rsid w:val="0041514B"/>
    <w:rsid w:val="004211F1"/>
    <w:rsid w:val="00460982"/>
    <w:rsid w:val="004704BC"/>
    <w:rsid w:val="004A77A7"/>
    <w:rsid w:val="004D196D"/>
    <w:rsid w:val="004F186E"/>
    <w:rsid w:val="00500BFB"/>
    <w:rsid w:val="00516A59"/>
    <w:rsid w:val="00545425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58A7"/>
    <w:rsid w:val="006D03B4"/>
    <w:rsid w:val="00725797"/>
    <w:rsid w:val="00763F8E"/>
    <w:rsid w:val="00795E87"/>
    <w:rsid w:val="007B1B2D"/>
    <w:rsid w:val="007E20AA"/>
    <w:rsid w:val="00820E57"/>
    <w:rsid w:val="0083184B"/>
    <w:rsid w:val="008938A9"/>
    <w:rsid w:val="00925AD3"/>
    <w:rsid w:val="00970DD2"/>
    <w:rsid w:val="009913D3"/>
    <w:rsid w:val="0099493F"/>
    <w:rsid w:val="009C4906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C1BE0"/>
    <w:rsid w:val="00BE43FC"/>
    <w:rsid w:val="00C4534D"/>
    <w:rsid w:val="00CB79C7"/>
    <w:rsid w:val="00CC7B57"/>
    <w:rsid w:val="00CD66D8"/>
    <w:rsid w:val="00D020CD"/>
    <w:rsid w:val="00D13623"/>
    <w:rsid w:val="00D24379"/>
    <w:rsid w:val="00D432E5"/>
    <w:rsid w:val="00DB12F9"/>
    <w:rsid w:val="00DB6343"/>
    <w:rsid w:val="00E01EB6"/>
    <w:rsid w:val="00E16246"/>
    <w:rsid w:val="00E86327"/>
    <w:rsid w:val="00E952C2"/>
    <w:rsid w:val="00EE0125"/>
    <w:rsid w:val="00EE2A43"/>
    <w:rsid w:val="00F23B66"/>
    <w:rsid w:val="00F46DFB"/>
    <w:rsid w:val="00F95F5F"/>
    <w:rsid w:val="00F96D09"/>
    <w:rsid w:val="00FB4345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In">
    <w:name w:val="Iné_"/>
    <w:basedOn w:val="Predvolenpsmoodseku"/>
    <w:link w:val="In0"/>
    <w:rsid w:val="00D020CD"/>
    <w:rPr>
      <w:rFonts w:ascii="Calibri" w:eastAsia="Calibri" w:hAnsi="Calibri" w:cs="Calibri"/>
      <w:sz w:val="13"/>
      <w:szCs w:val="13"/>
    </w:rPr>
  </w:style>
  <w:style w:type="paragraph" w:customStyle="1" w:styleId="In0">
    <w:name w:val="Iné"/>
    <w:basedOn w:val="Normlny"/>
    <w:link w:val="In"/>
    <w:rsid w:val="00D020CD"/>
    <w:pPr>
      <w:widowControl w:val="0"/>
    </w:pPr>
    <w:rPr>
      <w:rFonts w:ascii="Calibri" w:eastAsia="Calibri" w:hAnsi="Calibri" w:cs="Calibri"/>
      <w:noProof w:val="0"/>
      <w:sz w:val="13"/>
      <w:szCs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13434-A042-4AB3-A84D-AB52EAFCE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34</cp:revision>
  <cp:lastPrinted>2021-01-12T15:08:00Z</cp:lastPrinted>
  <dcterms:created xsi:type="dcterms:W3CDTF">2020-01-24T10:27:00Z</dcterms:created>
  <dcterms:modified xsi:type="dcterms:W3CDTF">2024-02-13T10:22:00Z</dcterms:modified>
</cp:coreProperties>
</file>