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1935" w:leader="none"/>
        </w:tabs>
        <w:spacing w:before="0" w:after="0"/>
        <w:jc w:val="center"/>
        <w:rPr>
          <w:rFonts w:ascii="Calibri" w:hAnsi="Calibri" w:eastAsia="Times New Roman" w:cs="Times New Roman"/>
          <w:b/>
          <w:bCs/>
          <w:color w:val="000000"/>
          <w:sz w:val="32"/>
          <w:szCs w:val="32"/>
          <w:lang w:eastAsia="sk-SK"/>
        </w:rPr>
      </w:pPr>
      <w:r>
        <w:rPr>
          <w:rFonts w:eastAsia="Times New Roman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v súvislosti s výberom dodávateľa pre predmet ŽoNFP v rámci PRV 2014-2022</w:t>
      </w:r>
    </w:p>
    <w:p>
      <w:pPr>
        <w:pStyle w:val="Normal"/>
        <w:tabs>
          <w:tab w:val="clear" w:pos="708"/>
          <w:tab w:val="left" w:pos="1935" w:leader="none"/>
        </w:tabs>
        <w:jc w:val="both"/>
        <w:rPr>
          <w:rFonts w:cs="Times New Roman"/>
        </w:rPr>
      </w:pPr>
      <w:r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2020.</w:t>
      </w:r>
    </w:p>
    <w:p>
      <w:pPr>
        <w:pStyle w:val="BodyText2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240"/>
        <w:ind w:hanging="426" w:left="426"/>
        <w:jc w:val="both"/>
        <w:rPr>
          <w:sz w:val="22"/>
          <w:szCs w:val="22"/>
        </w:rPr>
      </w:pPr>
      <w:r>
        <w:rPr>
          <w:sz w:val="22"/>
          <w:szCs w:val="22"/>
        </w:rPr>
        <w:t>Základné údaje:</w:t>
      </w:r>
    </w:p>
    <w:tbl>
      <w:tblPr>
        <w:tblStyle w:val="Mriekatabuky"/>
        <w:tblW w:w="892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63"/>
        <w:gridCol w:w="4462"/>
      </w:tblGrid>
      <w:tr>
        <w:trPr>
          <w:trHeight w:val="304" w:hRule="atLeast"/>
        </w:trPr>
        <w:tc>
          <w:tcPr>
            <w:tcW w:w="44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Názov žiadateľa/prijímateľa/obstarávateľa:</w:t>
            </w:r>
          </w:p>
        </w:tc>
        <w:tc>
          <w:tcPr>
            <w:tcW w:w="44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Shebo Winery Trade, s.r.o.</w:t>
            </w:r>
          </w:p>
        </w:tc>
      </w:tr>
      <w:tr>
        <w:trPr>
          <w:trHeight w:val="292" w:hRule="atLeast"/>
        </w:trPr>
        <w:tc>
          <w:tcPr>
            <w:tcW w:w="44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Sídlo:</w:t>
            </w:r>
          </w:p>
        </w:tc>
        <w:tc>
          <w:tcPr>
            <w:tcW w:w="44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Dolnozoborská 14, 949 01 Nitra</w:t>
            </w:r>
          </w:p>
        </w:tc>
      </w:tr>
      <w:tr>
        <w:trPr>
          <w:trHeight w:val="304" w:hRule="atLeast"/>
        </w:trPr>
        <w:tc>
          <w:tcPr>
            <w:tcW w:w="44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V zastúpení:</w:t>
            </w:r>
          </w:p>
        </w:tc>
        <w:tc>
          <w:tcPr>
            <w:tcW w:w="44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PhDr. Eduard Šebo – konateľ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Mgr. Pavol Kišon – konateľ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Ing. Richard Gažo - konateľ</w:t>
            </w:r>
          </w:p>
        </w:tc>
      </w:tr>
      <w:tr>
        <w:trPr>
          <w:trHeight w:val="292" w:hRule="atLeast"/>
        </w:trPr>
        <w:tc>
          <w:tcPr>
            <w:tcW w:w="44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IČO:</w:t>
            </w:r>
          </w:p>
        </w:tc>
        <w:tc>
          <w:tcPr>
            <w:tcW w:w="44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31 428 380</w:t>
            </w:r>
          </w:p>
        </w:tc>
      </w:tr>
      <w:tr>
        <w:trPr>
          <w:trHeight w:val="304" w:hRule="atLeast"/>
        </w:trPr>
        <w:tc>
          <w:tcPr>
            <w:tcW w:w="44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DIČ:</w:t>
            </w:r>
          </w:p>
        </w:tc>
        <w:tc>
          <w:tcPr>
            <w:tcW w:w="4462" w:type="dxa"/>
            <w:tcBorders/>
          </w:tcPr>
          <w:p>
            <w:pPr>
              <w:pStyle w:val="NoSpacing"/>
              <w:suppressAutoHyphens w:val="tru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2020410843</w:t>
            </w:r>
          </w:p>
        </w:tc>
      </w:tr>
      <w:tr>
        <w:trPr>
          <w:trHeight w:val="292" w:hRule="atLeast"/>
        </w:trPr>
        <w:tc>
          <w:tcPr>
            <w:tcW w:w="44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Osoba, ktorá vykonala prieskum trhu:</w:t>
            </w:r>
          </w:p>
        </w:tc>
        <w:tc>
          <w:tcPr>
            <w:tcW w:w="44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Mgr. Pavol Kišon, PhD.</w:t>
            </w:r>
          </w:p>
        </w:tc>
      </w:tr>
      <w:tr>
        <w:trPr>
          <w:trHeight w:val="304" w:hRule="atLeast"/>
        </w:trPr>
        <w:tc>
          <w:tcPr>
            <w:tcW w:w="44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Názov projektu a kód ŽoNFP</w:t>
            </w:r>
            <w:r>
              <w:rPr>
                <w:rStyle w:val="FootnoteReference"/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footnoteReference w:id="2"/>
            </w:r>
          </w:p>
        </w:tc>
        <w:tc>
          <w:tcPr>
            <w:tcW w:w="44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Zavedenie automatizovaných, inovatívnych, digitalizovaných výrobných technológií v spoločnosti VÍNO NITRA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kód ŽoNFP: 042TT510079</w:t>
            </w:r>
          </w:p>
        </w:tc>
      </w:tr>
      <w:tr>
        <w:trPr>
          <w:trHeight w:val="504" w:hRule="atLeast"/>
        </w:trPr>
        <w:tc>
          <w:tcPr>
            <w:tcW w:w="44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Kontaktné údaje pre zabezpečenie komunikácie so záujemcami</w:t>
            </w:r>
          </w:p>
        </w:tc>
        <w:tc>
          <w:tcPr>
            <w:tcW w:w="44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Prostredníctvom el. sytému Josephine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Style w:val="Hyperlink"/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https://josephine.proebiz.com/sk/tender/53431/summary</w:t>
            </w:r>
          </w:p>
        </w:tc>
      </w:tr>
      <w:tr>
        <w:trPr>
          <w:trHeight w:val="1044" w:hRule="atLeast"/>
        </w:trPr>
        <w:tc>
          <w:tcPr>
            <w:tcW w:w="446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Zatriedenie obstarávacieho subjektu podľa zákona</w:t>
            </w:r>
          </w:p>
        </w:tc>
        <w:tc>
          <w:tcPr>
            <w:tcW w:w="446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i/>
                <w:i/>
                <w:iCs/>
              </w:rPr>
            </w:pPr>
            <w:r>
              <w:rPr>
                <w:rFonts w:eastAsia="Calibri" w:cs="Calibri" w:cstheme="minorHAnsi"/>
                <w:i/>
                <w:iCs/>
                <w:kern w:val="0"/>
                <w:sz w:val="22"/>
                <w:szCs w:val="22"/>
                <w:lang w:val="sk-SK" w:eastAsia="en-US" w:bidi="ar-SA"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>
        <w:trPr>
          <w:trHeight w:val="4548" w:hRule="atLeast"/>
        </w:trPr>
        <w:tc>
          <w:tcPr>
            <w:tcW w:w="446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Opis predmetu zákazky</w:t>
            </w:r>
          </w:p>
        </w:tc>
        <w:tc>
          <w:tcPr>
            <w:tcW w:w="446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Presná technická špecifikácia na jednotlivé časti predmetu zákazky je uvedená v dokumente "Príloha č. 1_Specifikacia predmetu zakazky_VNR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2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" vo formáte .xlsx.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Predmet zákazky pozostáva z: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 xml:space="preserve">1.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Ležatá kryomaceračná nádoba – celonerezové prevedenie, počet: 1ks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2. Vákuová odparka – celonerezové prevedenie, počet: 1ks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3. Kremelinový filter – celonerezové prevedenie, počet: 1ks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4. Magneticko indukčný prietokomer – celonerezové prevedenie, počet: 1ks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5. Závitovkové čerpadlo s výkonom do 10 ton za hodinu, počet: 1ks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 xml:space="preserve">CPV kód: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 xml:space="preserve">15931500-8 - Hroznový mušt / Technológia vhodná aj pre výrobu vína. 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BodyText2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240"/>
        <w:ind w:hanging="426" w:left="426"/>
        <w:jc w:val="both"/>
        <w:rPr>
          <w:sz w:val="22"/>
          <w:szCs w:val="22"/>
        </w:rPr>
      </w:pPr>
      <w:r>
        <w:rPr>
          <w:sz w:val="22"/>
          <w:szCs w:val="22"/>
        </w:rPr>
        <w:t>Názov zákazky:</w:t>
      </w:r>
    </w:p>
    <w:tbl>
      <w:tblPr>
        <w:tblStyle w:val="Mriekatabuky"/>
        <w:tblW w:w="9062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0"/>
        <w:gridCol w:w="4080"/>
        <w:gridCol w:w="14"/>
        <w:gridCol w:w="735"/>
        <w:gridCol w:w="272"/>
        <w:gridCol w:w="1146"/>
        <w:gridCol w:w="452"/>
        <w:gridCol w:w="1813"/>
      </w:tblGrid>
      <w:tr>
        <w:trPr/>
        <w:tc>
          <w:tcPr>
            <w:tcW w:w="46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Názov zákazky</w:t>
            </w:r>
          </w:p>
        </w:tc>
        <w:tc>
          <w:tcPr>
            <w:tcW w:w="4418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Zavedenie automatizovaných, inovatívnych, digitalizovaných výrobných technológií - VNR</w:t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2</w:t>
            </w:r>
          </w:p>
        </w:tc>
      </w:tr>
      <w:tr>
        <w:trPr/>
        <w:tc>
          <w:tcPr>
            <w:tcW w:w="46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strike/>
                <w:kern w:val="0"/>
                <w:sz w:val="22"/>
                <w:szCs w:val="22"/>
                <w:lang w:val="sk-SK" w:eastAsia="en-US" w:bidi="ar-SA"/>
              </w:rPr>
              <w:t>Rozdelenie</w:t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/spojenie</w:t>
            </w:r>
            <w:r>
              <w:rPr>
                <w:rStyle w:val="FootnoteReference"/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footnoteReference w:id="3"/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 xml:space="preserve"> zákazky s odôvodnením</w:t>
            </w:r>
          </w:p>
        </w:tc>
        <w:tc>
          <w:tcPr>
            <w:tcW w:w="4418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R</w:t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 xml:space="preserve">ozdelenie </w:t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zákazky</w:t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 xml:space="preserve"> na časti nie je povolené zo strany obstarávateľa.</w:t>
            </w:r>
          </w:p>
        </w:tc>
      </w:tr>
      <w:tr>
        <w:trPr/>
        <w:tc>
          <w:tcPr>
            <w:tcW w:w="550" w:type="dxa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P.č.</w:t>
            </w:r>
          </w:p>
        </w:tc>
        <w:tc>
          <w:tcPr>
            <w:tcW w:w="4080" w:type="dxa"/>
            <w:tcBorders>
              <w:top w:val="single" w:sz="8" w:space="0" w:color="000000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center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Predmet zákazky</w:t>
            </w:r>
          </w:p>
        </w:tc>
        <w:tc>
          <w:tcPr>
            <w:tcW w:w="1021" w:type="dxa"/>
            <w:gridSpan w:val="3"/>
            <w:tcBorders>
              <w:top w:val="single" w:sz="8" w:space="0" w:color="000000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center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ks</w:t>
            </w:r>
          </w:p>
        </w:tc>
        <w:tc>
          <w:tcPr>
            <w:tcW w:w="1598" w:type="dxa"/>
            <w:gridSpan w:val="2"/>
            <w:tcBorders>
              <w:top w:val="single" w:sz="8" w:space="0" w:color="000000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center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 xml:space="preserve">PHZ bez DPH              </w:t>
            </w:r>
            <w:r>
              <w:rPr>
                <w:rFonts w:eastAsia="Calibri" w:cs="Calibri" w:cstheme="minorHAnsi"/>
                <w:i/>
                <w:iCs/>
                <w:kern w:val="0"/>
                <w:sz w:val="22"/>
                <w:szCs w:val="22"/>
                <w:lang w:val="sk-SK" w:eastAsia="en-US" w:bidi="ar-SA"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center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opis predmetu zákazky</w:t>
            </w:r>
          </w:p>
        </w:tc>
      </w:tr>
      <w:tr>
        <w:trPr/>
        <w:tc>
          <w:tcPr>
            <w:tcW w:w="550" w:type="dxa"/>
            <w:tcBorders>
              <w:top w:val="nil"/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1.</w:t>
            </w:r>
          </w:p>
        </w:tc>
        <w:tc>
          <w:tcPr>
            <w:tcW w:w="4080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Ležatá kryomaceračná nádoba – celonerezové prevedenie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1</w:t>
            </w:r>
          </w:p>
        </w:tc>
        <w:tc>
          <w:tcPr>
            <w:tcW w:w="1598" w:type="dxa"/>
            <w:gridSpan w:val="2"/>
            <w:vMerge w:val="restart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308 344,50</w:t>
            </w:r>
          </w:p>
        </w:tc>
        <w:tc>
          <w:tcPr>
            <w:tcW w:w="1813" w:type="dxa"/>
            <w:vMerge w:val="restart"/>
            <w:tcBorders>
              <w:left w:val="nil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Opis je uvedený v Prílohe č. 1 Specifikacia predmetu zakazky VNR</w:t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2</w:t>
            </w:r>
          </w:p>
        </w:tc>
      </w:tr>
      <w:tr>
        <w:trPr/>
        <w:tc>
          <w:tcPr>
            <w:tcW w:w="550" w:type="dxa"/>
            <w:tcBorders>
              <w:top w:val="nil"/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2.</w:t>
            </w:r>
          </w:p>
        </w:tc>
        <w:tc>
          <w:tcPr>
            <w:tcW w:w="4080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Vákuová odparka – celonerezové prevedenie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1</w:t>
            </w:r>
          </w:p>
        </w:tc>
        <w:tc>
          <w:tcPr>
            <w:tcW w:w="1598" w:type="dxa"/>
            <w:gridSpan w:val="2"/>
            <w:vMerge w:val="continue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</w:rPr>
            </w:r>
          </w:p>
        </w:tc>
        <w:tc>
          <w:tcPr>
            <w:tcW w:w="1813" w:type="dxa"/>
            <w:vMerge w:val="continue"/>
            <w:tcBorders>
              <w:left w:val="nil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</w:rPr>
            </w:r>
          </w:p>
        </w:tc>
      </w:tr>
      <w:tr>
        <w:trPr/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3.</w:t>
            </w:r>
          </w:p>
        </w:tc>
        <w:tc>
          <w:tcPr>
            <w:tcW w:w="4080" w:type="dxa"/>
            <w:tcBorders>
              <w:left w:val="nil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Kremelinový filter – celonerezové prevedenie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1</w:t>
            </w:r>
          </w:p>
        </w:tc>
        <w:tc>
          <w:tcPr>
            <w:tcW w:w="1598" w:type="dxa"/>
            <w:gridSpan w:val="2"/>
            <w:vMerge w:val="continue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</w:rPr>
            </w:r>
          </w:p>
        </w:tc>
        <w:tc>
          <w:tcPr>
            <w:tcW w:w="1813" w:type="dxa"/>
            <w:vMerge w:val="continue"/>
            <w:tcBorders>
              <w:left w:val="nil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</w:rPr>
            </w:r>
          </w:p>
        </w:tc>
      </w:tr>
      <w:tr>
        <w:trPr/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</w:rPr>
              <w:t>4.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</w:rPr>
              <w:t>Magneticko indukčný prietokomer – celonerezové prevedenie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1598" w:type="dxa"/>
            <w:gridSpan w:val="2"/>
            <w:vMerge w:val="continue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</w:rPr>
            </w:r>
          </w:p>
        </w:tc>
        <w:tc>
          <w:tcPr>
            <w:tcW w:w="1813" w:type="dxa"/>
            <w:vMerge w:val="continue"/>
            <w:tcBorders>
              <w:left w:val="nil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</w:rPr>
            </w:r>
          </w:p>
        </w:tc>
      </w:tr>
      <w:tr>
        <w:trPr/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</w:rPr>
              <w:t>5.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</w:rPr>
              <w:t>Závitovkové čerpadlo s výkonom do 10 ton za hodinu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1598" w:type="dxa"/>
            <w:gridSpan w:val="2"/>
            <w:vMerge w:val="continue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</w:rPr>
            </w:r>
          </w:p>
        </w:tc>
        <w:tc>
          <w:tcPr>
            <w:tcW w:w="1813" w:type="dxa"/>
            <w:vMerge w:val="continue"/>
            <w:tcBorders>
              <w:left w:val="nil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</w:rPr>
            </w:r>
          </w:p>
        </w:tc>
      </w:tr>
      <w:tr>
        <w:trPr>
          <w:trHeight w:val="275" w:hRule="atLeast"/>
        </w:trPr>
        <w:tc>
          <w:tcPr>
            <w:tcW w:w="5379" w:type="dxa"/>
            <w:gridSpan w:val="4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Lehota na predkladanie ponúk</w:t>
            </w:r>
          </w:p>
        </w:tc>
        <w:tc>
          <w:tcPr>
            <w:tcW w:w="3683" w:type="dxa"/>
            <w:gridSpan w:val="4"/>
            <w:tcBorders>
              <w:top w:val="single" w:sz="8" w:space="0" w:color="000000"/>
              <w:left w:val="nil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sk-SK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sk-SK" w:eastAsia="sk-SK" w:bidi="ar-SA"/>
              </w:rPr>
              <w:t>08.03.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sk-SK" w:eastAsia="sk-SK" w:bidi="ar-SA"/>
              </w:rPr>
              <w:t>2024 do 16:00</w:t>
            </w:r>
          </w:p>
        </w:tc>
      </w:tr>
      <w:tr>
        <w:trPr>
          <w:trHeight w:val="275" w:hRule="atLeast"/>
        </w:trPr>
        <w:tc>
          <w:tcPr>
            <w:tcW w:w="5379" w:type="dxa"/>
            <w:gridSpan w:val="4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Možnosť  predĺženia lehoty na predkladanie ponúk</w:t>
            </w:r>
            <w:r>
              <w:rPr>
                <w:rStyle w:val="FootnoteReference"/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footnoteReference w:id="4"/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 xml:space="preserve">           </w:t>
            </w:r>
            <w:r>
              <w:rPr>
                <w:rFonts w:eastAsia="Calibri" w:cs="Times New Roman"/>
                <w:b/>
                <w:strike/>
                <w:kern w:val="0"/>
                <w:sz w:val="22"/>
                <w:szCs w:val="22"/>
                <w:lang w:val="sk-SK" w:eastAsia="en-US" w:bidi="ar-SA"/>
              </w:rPr>
              <w:t>ÁNO</w:t>
            </w:r>
          </w:p>
        </w:tc>
        <w:tc>
          <w:tcPr>
            <w:tcW w:w="2265" w:type="dxa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NIE</w:t>
            </w:r>
          </w:p>
        </w:tc>
      </w:tr>
      <w:tr>
        <w:trPr>
          <w:trHeight w:val="275" w:hRule="atLeast"/>
        </w:trPr>
        <w:tc>
          <w:tcPr>
            <w:tcW w:w="5379" w:type="dxa"/>
            <w:gridSpan w:val="4"/>
            <w:tcBorders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Kritérium na vyhodnotenie ponúk</w:t>
            </w:r>
          </w:p>
        </w:tc>
        <w:tc>
          <w:tcPr>
            <w:tcW w:w="3683" w:type="dxa"/>
            <w:gridSpan w:val="4"/>
            <w:tcBorders>
              <w:left w:val="nil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Kritérium pozostáva z 1 kritéria: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1. Celková cena v EUR bez DPH – 100%</w:t>
            </w:r>
          </w:p>
        </w:tc>
      </w:tr>
      <w:tr>
        <w:trPr>
          <w:trHeight w:val="275" w:hRule="atLeast"/>
        </w:trPr>
        <w:tc>
          <w:tcPr>
            <w:tcW w:w="5379" w:type="dxa"/>
            <w:gridSpan w:val="4"/>
            <w:tcBorders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Miesto a spôsob doručenia ponúk</w:t>
            </w:r>
          </w:p>
        </w:tc>
        <w:tc>
          <w:tcPr>
            <w:tcW w:w="3683" w:type="dxa"/>
            <w:gridSpan w:val="4"/>
            <w:tcBorders>
              <w:left w:val="nil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Cenové ponuky sa predkladajú cez systém JOSEPHINE.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both"/>
              <w:rPr>
                <w:sz w:val="22"/>
              </w:rPr>
            </w:pPr>
            <w:r>
              <w:rPr>
                <w:rStyle w:val="Hyperlink"/>
                <w:rFonts w:eastAsia="Times New Roman" w:cs="Calibri"/>
                <w:color w:val="000000"/>
                <w:sz w:val="20"/>
                <w:szCs w:val="20"/>
                <w:lang w:eastAsia="sk-SK"/>
              </w:rPr>
              <w:t>https://josephine.proebiz.com/sk/tender/53431/summary</w:t>
            </w:r>
          </w:p>
        </w:tc>
      </w:tr>
      <w:tr>
        <w:trPr>
          <w:trHeight w:val="259" w:hRule="atLeast"/>
        </w:trPr>
        <w:tc>
          <w:tcPr>
            <w:tcW w:w="5379" w:type="dxa"/>
            <w:gridSpan w:val="4"/>
            <w:tcBorders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Dátum vyhodnotenia ponúk</w:t>
            </w:r>
          </w:p>
        </w:tc>
        <w:tc>
          <w:tcPr>
            <w:tcW w:w="3683" w:type="dxa"/>
            <w:gridSpan w:val="4"/>
            <w:tcBorders>
              <w:left w:val="nil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sk-SK" w:eastAsia="sk-SK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sk-SK" w:eastAsia="sk-SK" w:bidi="ar-SA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sk-SK" w:eastAsia="sk-SK" w:bidi="ar-SA"/>
              </w:rPr>
              <w:t>1.03.2024 v systéme Josephine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Na ponuku predloženú po uplynutí lehoty na predkladanie ponúk  obstarávateľ nebude prihliadať.</w:t>
            </w:r>
          </w:p>
        </w:tc>
      </w:tr>
      <w:tr>
        <w:trPr>
          <w:trHeight w:val="2186" w:hRule="atLeast"/>
        </w:trPr>
        <w:tc>
          <w:tcPr>
            <w:tcW w:w="5379" w:type="dxa"/>
            <w:gridSpan w:val="4"/>
            <w:tcBorders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Dodávateľ je povinný dokladovať podmienku  osobnostného postavenia</w:t>
            </w:r>
            <w:r>
              <w:rPr>
                <w:rStyle w:val="FootnoteReference"/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footnoteReference w:id="5"/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sk-SK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k-SK" w:eastAsia="en-US" w:bidi="ar-SA"/>
              </w:rPr>
              <w:t>a) je oprávnený dodávať tovar, uskutočňovať stavebné práce alebo poskytovať službu v rozsahu, ktorý zodpovedá predmetu  zákazky</w:t>
            </w:r>
          </w:p>
        </w:tc>
        <w:tc>
          <w:tcPr>
            <w:tcW w:w="3683" w:type="dxa"/>
            <w:gridSpan w:val="4"/>
            <w:tcBorders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sz w:val="22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- originál alebo úradne overenú fotokópiu dokladu (sken), ktorý preukáže oprávnenie Uchádzača realizovať predmet zákazky (výpis z OR SR, výpis z ŽR SR), ktorý v deň odoslania cenovej ponuky nebude starší ako 3 mesiace,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sz w:val="22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- ak tento dokument nepredloží uchádzač v rámci ponuky, obstarávateľ si podmienku účasti preverí z verejne dostupných zdrojov,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sz w:val="22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- uchádzač môže dokument nahradiť platnou registráciou v zozname hospodárskych subjektov alebo môže uviesť internetovú adresu (hypertextový link), na ktorom sú požadované dokumenty verejne prístupné</w:t>
            </w:r>
          </w:p>
        </w:tc>
      </w:tr>
      <w:tr>
        <w:trPr>
          <w:trHeight w:val="1322" w:hRule="atLeast"/>
        </w:trPr>
        <w:tc>
          <w:tcPr>
            <w:tcW w:w="5379" w:type="dxa"/>
            <w:gridSpan w:val="4"/>
            <w:tcBorders>
              <w:top w:val="nil"/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sk-SK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k-SK" w:eastAsia="en-US" w:bidi="ar-SA"/>
              </w:rPr>
              <w:t>b)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4"/>
            <w:tcBorders>
              <w:top w:val="nil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val="sk-SK" w:eastAsia="sk-SK" w:bidi="ar-SA"/>
              </w:rPr>
              <w:t>- uchádzač nepredkladá žiadny dokument, obstarávateľ si podmienku účasti preverí z verejne dostupných zdrojov</w:t>
            </w:r>
          </w:p>
        </w:tc>
      </w:tr>
      <w:tr>
        <w:trPr>
          <w:trHeight w:val="810" w:hRule="atLeast"/>
        </w:trPr>
        <w:tc>
          <w:tcPr>
            <w:tcW w:w="5379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sk-SK" w:eastAsia="sk-SK" w:bidi="ar-SA"/>
              </w:rPr>
              <w:t>Dodávateľ je povinný dokladovať podmienku  finančného a ekonomického postavenia, technickej spôsobilosti alebo odbornej spôsobilosti</w:t>
            </w:r>
            <w:r>
              <w:rPr>
                <w:rStyle w:val="FootnoteReference"/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sk-SK" w:eastAsia="sk-SK" w:bidi="ar-SA"/>
              </w:rPr>
              <w:footnoteReference w:id="6"/>
            </w:r>
          </w:p>
        </w:tc>
        <w:tc>
          <w:tcPr>
            <w:tcW w:w="3683" w:type="dxa"/>
            <w:gridSpan w:val="4"/>
            <w:tcBorders>
              <w:left w:val="nil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val="sk-SK" w:eastAsia="sk-SK" w:bidi="ar-SA"/>
              </w:rPr>
              <w:t>- nepožaduje sa</w:t>
            </w:r>
          </w:p>
        </w:tc>
      </w:tr>
      <w:tr>
        <w:trPr>
          <w:trHeight w:val="624" w:hRule="atLeast"/>
        </w:trPr>
        <w:tc>
          <w:tcPr>
            <w:tcW w:w="5379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sk-SK" w:eastAsia="sk-SK" w:bidi="ar-SA"/>
              </w:rPr>
              <w:t>Iné</w:t>
            </w:r>
            <w:r>
              <w:rPr>
                <w:rStyle w:val="FootnoteReference"/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sk-SK" w:eastAsia="sk-SK" w:bidi="ar-SA"/>
              </w:rPr>
              <w:footnoteReference w:id="7"/>
            </w:r>
          </w:p>
        </w:tc>
        <w:tc>
          <w:tcPr>
            <w:tcW w:w="3683" w:type="dxa"/>
            <w:gridSpan w:val="4"/>
            <w:tcBorders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Elektronická aukcia – neuplatňuje sa.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BodyText2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240"/>
        <w:ind w:hanging="426" w:left="426"/>
        <w:jc w:val="both"/>
        <w:rPr>
          <w:sz w:val="22"/>
          <w:szCs w:val="22"/>
        </w:rPr>
      </w:pPr>
      <w:r>
        <w:rPr>
          <w:sz w:val="22"/>
          <w:szCs w:val="22"/>
        </w:rPr>
        <w:t>Dodatočné informácie:</w:t>
      </w:r>
    </w:p>
    <w:tbl>
      <w:tblPr>
        <w:tblStyle w:val="Mriekatabuky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sk-SK" w:eastAsia="en-US" w:bidi="ar-SA"/>
              </w:rPr>
              <w:t>Dodatočné informácie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sk-SK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k-SK" w:eastAsia="en-US" w:bidi="ar-SA"/>
              </w:rPr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sk-SK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k-SK" w:eastAsia="en-US" w:bidi="ar-SA"/>
              </w:rPr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bCs/>
          <w:color w:val="000000"/>
          <w:lang w:eastAsia="sk-SK"/>
        </w:rPr>
      </w:r>
    </w:p>
    <w:tbl>
      <w:tblPr>
        <w:tblStyle w:val="Mriekatabuky"/>
        <w:tblW w:w="906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20"/>
        <w:gridCol w:w="3021"/>
        <w:gridCol w:w="3021"/>
      </w:tblGrid>
      <w:tr>
        <w:trPr/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val="sk-SK" w:eastAsia="sk-SK" w:bidi="ar-SA"/>
              </w:rPr>
              <w:t>V Trnave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val="sk-SK" w:eastAsia="sk-SK" w:bidi="ar-SA"/>
              </w:rPr>
              <w:t xml:space="preserve">Dňa </w:t>
            </w: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val="sk-SK" w:eastAsia="sk-SK" w:bidi="ar-SA"/>
              </w:rPr>
              <w:t>26</w:t>
            </w: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val="sk-SK" w:eastAsia="sk-SK" w:bidi="ar-SA"/>
              </w:rPr>
              <w:t>.2.2024</w:t>
            </w:r>
          </w:p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sk-SK"/>
              </w:rPr>
            </w:r>
          </w:p>
        </w:tc>
      </w:tr>
      <w:tr>
        <w:trPr/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Mgr. Pavol Kišon, PhD. - na základe Splnomocnenia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tbl>
      <w:tblPr>
        <w:tblW w:w="9498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043"/>
        <w:gridCol w:w="7454"/>
      </w:tblGrid>
      <w:tr>
        <w:trPr>
          <w:trHeight w:val="255" w:hRule="atLeast"/>
        </w:trPr>
        <w:tc>
          <w:tcPr>
            <w:tcW w:w="204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Prílohy</w:t>
            </w:r>
            <w:r>
              <w:rPr>
                <w:rFonts w:eastAsia="Times New Roman" w:cs="Times New Roman"/>
                <w:color w:val="000000"/>
                <w:lang w:eastAsia="sk-SK"/>
              </w:rPr>
              <w:t>:</w:t>
            </w:r>
          </w:p>
        </w:tc>
        <w:tc>
          <w:tcPr>
            <w:tcW w:w="7454" w:type="dxa"/>
            <w:tcBorders/>
            <w:shd w:color="auto" w:fill="auto" w:val="clear"/>
            <w:vAlign w:val="bottom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Príloha č. 1_Špecifikácia predmetu zákazky_VNR</w:t>
            </w:r>
            <w:r>
              <w:rPr>
                <w:rFonts w:eastAsia="Times New Roman" w:cs="Times New Roman"/>
                <w:color w:val="000000"/>
                <w:lang w:eastAsia="sk-SK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204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k-SK"/>
              </w:rPr>
            </w:r>
          </w:p>
        </w:tc>
        <w:tc>
          <w:tcPr>
            <w:tcW w:w="7454" w:type="dxa"/>
            <w:tcBorders/>
            <w:shd w:color="auto" w:fill="auto" w:val="clear"/>
            <w:vAlign w:val="bottom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Návrh_Kúpna zmluva_VNR</w:t>
            </w:r>
            <w:r>
              <w:rPr>
                <w:rFonts w:eastAsia="Times New Roman" w:cs="Times New Roman"/>
                <w:color w:val="000000"/>
                <w:lang w:eastAsia="sk-SK"/>
              </w:rPr>
              <w:t>2</w:t>
            </w:r>
            <w:r>
              <w:rPr>
                <w:rStyle w:val="FootnoteReference"/>
                <w:rFonts w:eastAsia="Times New Roman" w:cs="Times New Roman"/>
                <w:color w:val="000000"/>
                <w:lang w:eastAsia="sk-SK"/>
              </w:rPr>
              <w:footnoteReference w:id="8"/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Splnomocnenie Pavol Kišon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Čestné vyhlásenie ku konfliktu záujmov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Vyhlásenie uchádzača týkajúce sa ochrany osobných údajov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jc w:val="center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ČESTNÉ VYHLÁSENIE KU KONFLIKTU ZÁUJMOV</w:t>
      </w:r>
    </w:p>
    <w:p>
      <w:pPr>
        <w:pStyle w:val="Normal"/>
        <w:jc w:val="center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</w:r>
    </w:p>
    <w:p>
      <w:pPr>
        <w:pStyle w:val="Normal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 xml:space="preserve">Obchodné meno spoločnosti: </w:t>
        <w:tab/>
        <w:tab/>
        <w:t>.........................................................</w:t>
      </w:r>
    </w:p>
    <w:p>
      <w:pPr>
        <w:pStyle w:val="Normal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Sídlo spoločnosti:</w:t>
        <w:tab/>
        <w:tab/>
        <w:tab/>
        <w:t>..........................................................</w:t>
      </w:r>
    </w:p>
    <w:p>
      <w:pPr>
        <w:pStyle w:val="Normal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IČO:</w:t>
        <w:tab/>
        <w:tab/>
        <w:tab/>
        <w:tab/>
        <w:tab/>
        <w:t>.........................................................</w:t>
      </w:r>
    </w:p>
    <w:p>
      <w:pPr>
        <w:pStyle w:val="Normal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Meno a funkcia oprávnenej osoby:</w:t>
        <w:tab/>
        <w:t>..........................................................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 xml:space="preserve">ako uchádzač, ktorý predložil ponuku na </w:t>
      </w:r>
      <w:r>
        <w:rPr>
          <w:rFonts w:eastAsia="Calibri" w:cs="Calibri"/>
          <w:b/>
          <w:bCs/>
          <w:sz w:val="22"/>
          <w:szCs w:val="22"/>
        </w:rPr>
        <w:t>predmet</w:t>
      </w:r>
      <w:r>
        <w:rPr>
          <w:rFonts w:eastAsia="Calibri" w:cs="Calibri"/>
          <w:sz w:val="22"/>
          <w:szCs w:val="22"/>
        </w:rPr>
        <w:t xml:space="preserve"> </w:t>
      </w:r>
      <w:r>
        <w:rPr>
          <w:rFonts w:eastAsia="Calibri" w:cs="Calibri"/>
          <w:b/>
          <w:bCs/>
          <w:sz w:val="22"/>
          <w:szCs w:val="22"/>
        </w:rPr>
        <w:t>zákazky s názvom „Zavedenie automatizovaných, inovatívnych, digitalizovaných výrobných technológií - VNR</w:t>
      </w:r>
      <w:r>
        <w:rPr>
          <w:rFonts w:eastAsia="Calibri" w:cs="Calibri"/>
          <w:b/>
          <w:bCs/>
          <w:sz w:val="22"/>
          <w:szCs w:val="22"/>
        </w:rPr>
        <w:t>2</w:t>
      </w:r>
      <w:r>
        <w:rPr>
          <w:rFonts w:eastAsia="Calibri" w:cs="Calibri"/>
          <w:b/>
          <w:bCs/>
          <w:sz w:val="22"/>
          <w:szCs w:val="22"/>
        </w:rPr>
        <w:t>“, projekt: „</w:t>
      </w:r>
      <w:r>
        <w:rPr>
          <w:rFonts w:eastAsia="Calibri" w:cs="Calibri"/>
          <w:b w:val="false"/>
          <w:bCs w:val="false"/>
          <w:color w:val="000000"/>
          <w:kern w:val="0"/>
          <w:sz w:val="22"/>
          <w:szCs w:val="22"/>
          <w:lang w:val="sk-SK" w:eastAsia="sk-SK" w:bidi="ar-SA"/>
        </w:rPr>
        <w:t>Zavedenie automatizovaných, inovatívnych, digitalizovaných výrobných technológií v spoločnosti VÍNO NITRA</w:t>
      </w:r>
      <w:r>
        <w:rPr>
          <w:rFonts w:eastAsia="Calibri" w:cs="Calibri"/>
          <w:b w:val="false"/>
          <w:bCs w:val="false"/>
          <w:color w:val="000000"/>
          <w:sz w:val="22"/>
          <w:szCs w:val="22"/>
        </w:rPr>
        <w:t>“</w:t>
      </w:r>
    </w:p>
    <w:p>
      <w:pPr>
        <w:pStyle w:val="Normal"/>
        <w:jc w:val="both"/>
        <w:rPr>
          <w:rFonts w:ascii="Calibri" w:hAnsi="Calibri" w:eastAsia="Calibri" w:cs="Calibri"/>
          <w:b/>
          <w:sz w:val="22"/>
          <w:szCs w:val="22"/>
        </w:rPr>
      </w:pPr>
      <w:r>
        <w:rPr>
          <w:rFonts w:eastAsia="Calibri" w:cs="Calibri"/>
          <w:b/>
          <w:sz w:val="22"/>
          <w:szCs w:val="22"/>
        </w:rPr>
        <w:t>týmto čestne vyhlasujem, že</w:t>
      </w:r>
    </w:p>
    <w:p>
      <w:pPr>
        <w:pStyle w:val="Normal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>v súvislosti s uvedeným verejným obstarávaním:</w:t>
      </w:r>
    </w:p>
    <w:p>
      <w:pPr>
        <w:pStyle w:val="Normal"/>
        <w:numPr>
          <w:ilvl w:val="0"/>
          <w:numId w:val="3"/>
        </w:numPr>
        <w:spacing w:before="0" w:after="0"/>
        <w:contextualSpacing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>som nevyvíjal  a nebudem vyvíjať voči  žiadnej osobe na strane obstarávateľa ktorá je alebo by mohla byť zainteresovaná v rámci tohto prieskumu trhu („zainteresovaná osoba“) akékoľvek aktivity, ktoré vy mohli viesť k zvýhodneniu nášho postavenia v obstarávaní,</w:t>
      </w:r>
    </w:p>
    <w:p>
      <w:pPr>
        <w:pStyle w:val="Normal"/>
        <w:numPr>
          <w:ilvl w:val="0"/>
          <w:numId w:val="3"/>
        </w:numPr>
        <w:spacing w:before="0" w:after="0"/>
        <w:contextualSpacing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>som neposkytol a neposkytnem  akejkoľvek, čo i len potenciálne zainteresovanej osobe priamo alebo nepriamo akúkoľvek finančnú alebo vecnú výhodu ako motiváciu alebo odmenu súvisiacu s týmto  obstarávaním,</w:t>
      </w:r>
    </w:p>
    <w:p>
      <w:pPr>
        <w:pStyle w:val="Normal"/>
        <w:numPr>
          <w:ilvl w:val="0"/>
          <w:numId w:val="3"/>
        </w:numPr>
        <w:spacing w:before="0" w:after="0"/>
        <w:contextualSpacing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>budem bezodkladne informovať obstarávateľa o akejkoľvek situácii, ktorá je považovaná za konflikt záujmov alebo ktorá by mohla viesť ku konfliktu záujmov kedykoľvek v priebehu procesu obstarávania,</w:t>
      </w:r>
    </w:p>
    <w:p>
      <w:pPr>
        <w:pStyle w:val="Normal"/>
        <w:numPr>
          <w:ilvl w:val="0"/>
          <w:numId w:val="3"/>
        </w:numPr>
        <w:spacing w:before="0" w:after="0"/>
        <w:contextualSpacing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>poskytnem obstarávateľovi  v tomto obstarávaní presné, pravdivé a úplné informácie.</w:t>
      </w:r>
    </w:p>
    <w:p>
      <w:pPr>
        <w:pStyle w:val="Normal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</w:r>
    </w:p>
    <w:p>
      <w:pPr>
        <w:pStyle w:val="Normal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300"/>
        <w:ind w:hanging="10" w:left="22" w:right="0"/>
        <w:jc w:val="both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  <w:t>V ..........................., dňa ...............</w:t>
      </w:r>
    </w:p>
    <w:p>
      <w:pPr>
        <w:pStyle w:val="Normal"/>
        <w:tabs>
          <w:tab w:val="clear" w:pos="708"/>
          <w:tab w:val="left" w:pos="567" w:leader="none"/>
        </w:tabs>
        <w:spacing w:lineRule="auto" w:line="300"/>
        <w:jc w:val="both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300"/>
        <w:jc w:val="both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ab/>
        <w:tab/>
        <w:tab/>
        <w:tab/>
        <w:tab/>
        <w:tab/>
        <w:tab/>
        <w:t>.........................................................</w:t>
      </w:r>
    </w:p>
    <w:p>
      <w:pPr>
        <w:pStyle w:val="Normal"/>
        <w:ind w:left="3540" w:right="0"/>
        <w:rPr>
          <w:rFonts w:ascii="Calibri" w:hAnsi="Calibri"/>
          <w:sz w:val="22"/>
          <w:szCs w:val="22"/>
        </w:rPr>
      </w:pPr>
      <w:r>
        <w:rPr>
          <w:rFonts w:eastAsia="Calibri" w:cs="Calibri"/>
          <w:i/>
          <w:sz w:val="22"/>
          <w:szCs w:val="22"/>
        </w:rPr>
        <w:t xml:space="preserve">              </w:t>
      </w:r>
      <w:r>
        <w:rPr>
          <w:rFonts w:eastAsia="Calibri" w:cs="Calibri"/>
          <w:i/>
          <w:sz w:val="22"/>
          <w:szCs w:val="22"/>
        </w:rPr>
        <w:t>Podpis  štatutárneho zástupcu a pečiatka spoločnosti</w:t>
      </w:r>
    </w:p>
    <w:p>
      <w:pPr>
        <w:pStyle w:val="Normal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</w:r>
    </w:p>
    <w:p>
      <w:pPr>
        <w:pStyle w:val="Normal"/>
        <w:rPr>
          <w:rFonts w:ascii="Calibri" w:hAnsi="Calibri" w:cs="Calibri"/>
          <w:b/>
          <w:color w:val="FF0000"/>
          <w:sz w:val="22"/>
          <w:szCs w:val="22"/>
        </w:rPr>
      </w:pPr>
      <w:r>
        <w:rPr>
          <w:rFonts w:cs="Calibri"/>
          <w:b/>
          <w:color w:val="FF0000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color w:val="FF0000"/>
          <w:sz w:val="22"/>
          <w:szCs w:val="22"/>
          <w:lang w:val="en-US"/>
        </w:rPr>
      </w:pPr>
      <w:r>
        <w:rPr>
          <w:rFonts w:eastAsia="Calibri" w:cs="Calibri"/>
          <w:color w:val="FF0000"/>
          <w:sz w:val="22"/>
          <w:szCs w:val="22"/>
          <w:lang w:val="en-US"/>
        </w:rPr>
      </w:r>
    </w:p>
    <w:p>
      <w:pPr>
        <w:pStyle w:val="Normal"/>
        <w:widowControl w:val="false"/>
        <w:suppressAutoHyphens w:val="true"/>
        <w:spacing w:lineRule="exact" w:line="200" w:before="0" w:after="2681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before="40" w:after="0"/>
        <w:ind w:hanging="0" w:left="0"/>
        <w:jc w:val="center"/>
        <w:outlineLvl w:val="1"/>
        <w:rPr>
          <w:rFonts w:ascii="Calibri" w:hAnsi="Calibri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spacing w:before="40" w:after="0"/>
        <w:ind w:hanging="0" w:left="0"/>
        <w:jc w:val="center"/>
        <w:outlineLvl w:val="1"/>
        <w:rPr>
          <w:rFonts w:ascii="Calibri" w:hAnsi="Calibri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spacing w:before="40" w:after="0"/>
        <w:ind w:hanging="0" w:left="0"/>
        <w:jc w:val="center"/>
        <w:outlineLvl w:val="1"/>
        <w:rPr>
          <w:rFonts w:ascii="Calibri" w:hAnsi="Calibri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spacing w:before="40" w:after="0"/>
        <w:ind w:hanging="0" w:left="0"/>
        <w:jc w:val="center"/>
        <w:outlineLvl w:val="1"/>
        <w:rPr>
          <w:rFonts w:ascii="Calibri" w:hAnsi="Calibri"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  <w:t>V</w:t>
      </w:r>
      <w:r>
        <w:rPr>
          <w:rFonts w:cs="Calibri" w:cstheme="minorHAnsi"/>
          <w:b/>
          <w:sz w:val="22"/>
          <w:szCs w:val="22"/>
        </w:rPr>
        <w:t>YHLÁSENIE  UCHÁDZAČA TÝKAJÚCE SA OCHRANY OSOBNÝCH ÚDAJOV</w:t>
      </w:r>
    </w:p>
    <w:p>
      <w:pPr>
        <w:pStyle w:val="Normal"/>
        <w:spacing w:lineRule="auto" w:line="302"/>
        <w:ind w:hanging="10" w:left="22"/>
        <w:jc w:val="both"/>
        <w:rPr>
          <w:rFonts w:ascii="Calibri" w:hAnsi="Calibri"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shd w:val="clear" w:color="auto" w:fill="FFFFFF"/>
        <w:spacing w:lineRule="auto" w:line="302"/>
        <w:ind w:hanging="10" w:left="22"/>
        <w:jc w:val="both"/>
        <w:rPr>
          <w:rFonts w:ascii="Calibri" w:hAnsi="Calibri" w:cs="Calibri" w:cstheme="minorHAnsi"/>
          <w:bCs/>
          <w:sz w:val="22"/>
          <w:szCs w:val="22"/>
        </w:rPr>
      </w:pPr>
      <w:r>
        <w:rPr>
          <w:rFonts w:cs="Calibri" w:cstheme="minorHAnsi"/>
          <w:bCs/>
          <w:sz w:val="22"/>
          <w:szCs w:val="22"/>
        </w:rPr>
      </w:r>
    </w:p>
    <w:p>
      <w:pPr>
        <w:pStyle w:val="Normal"/>
        <w:shd w:val="clear" w:color="auto" w:fill="FFFFFF"/>
        <w:spacing w:lineRule="auto" w:line="302" w:before="0" w:after="14"/>
        <w:ind w:hanging="10" w:left="22"/>
        <w:jc w:val="both"/>
        <w:rPr>
          <w:rFonts w:ascii="Calibri" w:hAnsi="Calibri"/>
          <w:sz w:val="22"/>
          <w:szCs w:val="22"/>
        </w:rPr>
      </w:pPr>
      <w:r>
        <w:rPr>
          <w:rFonts w:cs="Calibri" w:cstheme="minorHAnsi"/>
          <w:bCs/>
          <w:sz w:val="22"/>
          <w:szCs w:val="22"/>
        </w:rPr>
        <w:t xml:space="preserve">Ako uchádzač:..........................................................., so sídlom ..........................................................., </w:t>
      </w:r>
    </w:p>
    <w:p>
      <w:pPr>
        <w:pStyle w:val="Normal"/>
        <w:shd w:val="clear" w:color="auto" w:fill="FFFFFF"/>
        <w:spacing w:lineRule="auto" w:line="302" w:before="0" w:after="14"/>
        <w:ind w:hanging="10" w:left="22"/>
        <w:jc w:val="both"/>
        <w:rPr>
          <w:rFonts w:ascii="Calibri" w:hAnsi="Calibri"/>
          <w:sz w:val="22"/>
          <w:szCs w:val="22"/>
        </w:rPr>
      </w:pPr>
      <w:r>
        <w:rPr>
          <w:rFonts w:cs="Calibri" w:cstheme="minorHAnsi"/>
          <w:bCs/>
          <w:sz w:val="22"/>
          <w:szCs w:val="22"/>
        </w:rPr>
        <w:t>IČO: .................................. týmto vyhlasujem, že predložením ponuky na predmet z</w:t>
      </w:r>
      <w:r>
        <w:rPr>
          <w:rFonts w:cs="Calibri" w:cstheme="minorHAnsi"/>
          <w:b w:val="false"/>
          <w:bCs w:val="false"/>
          <w:sz w:val="22"/>
          <w:szCs w:val="22"/>
        </w:rPr>
        <w:t xml:space="preserve">ákazky </w:t>
      </w:r>
      <w:r>
        <w:rPr>
          <w:rFonts w:eastAsia="Calibri" w:cs="Calibri"/>
          <w:b w:val="false"/>
          <w:bCs w:val="false"/>
          <w:sz w:val="22"/>
          <w:szCs w:val="22"/>
        </w:rPr>
        <w:t>s názvom „Zavedenie automatizovaných, inovatívnych, digitalizovaných výrobných technológií - VNR</w:t>
      </w:r>
      <w:r>
        <w:rPr>
          <w:rFonts w:eastAsia="Calibri" w:cs="Calibri"/>
          <w:b w:val="false"/>
          <w:bCs w:val="false"/>
          <w:sz w:val="22"/>
          <w:szCs w:val="22"/>
        </w:rPr>
        <w:t>2</w:t>
      </w:r>
      <w:r>
        <w:rPr>
          <w:rFonts w:eastAsia="Calibri" w:cs="Calibri"/>
          <w:b w:val="false"/>
          <w:bCs w:val="false"/>
          <w:sz w:val="22"/>
          <w:szCs w:val="22"/>
        </w:rPr>
        <w:t>“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Calibri" w:cstheme="minorHAnsi"/>
          <w:bCs/>
          <w:sz w:val="22"/>
          <w:szCs w:val="22"/>
        </w:rPr>
        <w:t xml:space="preserve">súhlasím s  </w:t>
      </w:r>
      <w:r>
        <w:rPr>
          <w:rFonts w:eastAsia="Calibri" w:cs="Calibri" w:cstheme="minorHAnsi"/>
          <w:sz w:val="22"/>
          <w:szCs w:val="22"/>
        </w:rPr>
        <w:t>evidenciou a spracovaním osobných údajov podľa Zákona č.18/2018 Z.z. a Nariadenia (EÚ)</w:t>
      </w:r>
      <w:r>
        <w:rPr>
          <w:rFonts w:cs="Calibri" w:cstheme="minorHAnsi"/>
          <w:bCs/>
          <w:sz w:val="22"/>
          <w:szCs w:val="22"/>
        </w:rPr>
        <w:t xml:space="preserve"> </w:t>
      </w:r>
      <w:r>
        <w:rPr>
          <w:rFonts w:eastAsia="Calibri" w:cs="Calibri" w:cstheme="minorHAnsi"/>
          <w:sz w:val="22"/>
          <w:szCs w:val="22"/>
        </w:rPr>
        <w:t xml:space="preserve">2016/679. V zmysle Zákona č.18/2018 Z.z.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a uchovaním osobných údajov uvedených v našej ponuke obstarávateľom a/alebo osobou splnomocnenou na proces obstarávania. Zároveň dávame súhlas na ich sprístupnenie aj tretím osobám, ktorými sú kontrolné orgány vykonávajúce kontrolu procesu obstarávania na daný predmet zákazky a to až do 31.12.2028. Pri spracúvaní osobných údajov v žiadnom prípade nebude dochádzať k cezhraničnému prenosu do tretích krajín. Súhlas je možné kedykoľvek odvolať, inak súhlas zanikne po uplynutí 31.12.2028. </w:t>
      </w:r>
    </w:p>
    <w:p>
      <w:pPr>
        <w:pStyle w:val="Normal"/>
        <w:jc w:val="both"/>
        <w:rPr>
          <w:rFonts w:ascii="Calibri" w:hAnsi="Calibri" w:eastAsia="Calibri" w:cs="Calibri" w:cstheme="minorHAnsi"/>
          <w:sz w:val="22"/>
          <w:szCs w:val="22"/>
        </w:rPr>
      </w:pPr>
      <w:r>
        <w:rPr>
          <w:rFonts w:eastAsia="Calibri" w:cs="Calibri" w:cstheme="minorHAns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 w:cstheme="minorHAnsi"/>
          <w:sz w:val="22"/>
          <w:szCs w:val="22"/>
        </w:rPr>
      </w:pPr>
      <w:r>
        <w:rPr>
          <w:rFonts w:eastAsia="Calibri" w:cs="Calibri" w:cstheme="minorHAnsi"/>
          <w:sz w:val="22"/>
          <w:szCs w:val="22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302"/>
        <w:ind w:hanging="10" w:left="22"/>
        <w:jc w:val="both"/>
        <w:rPr>
          <w:rFonts w:ascii="Calibri" w:hAnsi="Calibri"/>
          <w:sz w:val="22"/>
          <w:szCs w:val="22"/>
        </w:rPr>
      </w:pPr>
      <w:r>
        <w:rPr>
          <w:rFonts w:cs="Calibri" w:cstheme="minorHAnsi"/>
          <w:sz w:val="22"/>
          <w:szCs w:val="22"/>
        </w:rPr>
        <w:t>V ..........................., dňa ...............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eastAsia="Calibri" w:cs="Calibri" w:cstheme="minorHAnsi"/>
          <w:sz w:val="22"/>
          <w:szCs w:val="22"/>
        </w:rPr>
        <w:tab/>
        <w:tab/>
        <w:tab/>
        <w:tab/>
        <w:tab/>
        <w:tab/>
        <w:tab/>
      </w:r>
      <w:r>
        <w:rPr>
          <w:rFonts w:eastAsia="Calibri"/>
          <w:sz w:val="22"/>
          <w:szCs w:val="22"/>
        </w:rPr>
        <w:t>…………………………………...............................</w:t>
      </w:r>
    </w:p>
    <w:p>
      <w:pPr>
        <w:pStyle w:val="Normal"/>
        <w:ind w:firstLine="708" w:left="4248"/>
        <w:rPr>
          <w:rFonts w:ascii="Calibri" w:hAnsi="Calibri"/>
          <w:sz w:val="22"/>
          <w:szCs w:val="22"/>
        </w:rPr>
      </w:pPr>
      <w:r>
        <w:rPr>
          <w:rFonts w:eastAsia="Calibri"/>
          <w:i/>
          <w:sz w:val="22"/>
          <w:szCs w:val="22"/>
        </w:rPr>
        <w:t>Meno a priezvisko štatutárneho zástupcu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eastAsia="Calibri"/>
          <w:i/>
          <w:sz w:val="22"/>
          <w:szCs w:val="22"/>
        </w:rPr>
        <w:tab/>
        <w:tab/>
        <w:tab/>
        <w:tab/>
        <w:tab/>
        <w:tab/>
        <w:tab/>
        <w:t xml:space="preserve">              názov  a pečiatka spoločnosti</w:t>
      </w:r>
    </w:p>
    <w:p>
      <w:pPr>
        <w:pStyle w:val="Normal"/>
        <w:ind w:firstLine="708" w:left="4248"/>
        <w:rPr>
          <w:rFonts w:ascii="Calibri" w:hAnsi="Calibri" w:eastAsia="Calibri" w:cs="Calibri" w:cstheme="minorHAnsi"/>
          <w:sz w:val="22"/>
          <w:szCs w:val="22"/>
        </w:rPr>
      </w:pPr>
      <w:r>
        <w:rPr>
          <w:rFonts w:eastAsia="Calibri" w:cs="Calibri" w:cstheme="minorHAnsi"/>
          <w:sz w:val="22"/>
          <w:szCs w:val="22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Calibri" w:hAnsi="Calibri" w:eastAsia="Arial" w:cs="Arial"/>
          <w:b/>
          <w:bCs/>
          <w:sz w:val="22"/>
          <w:szCs w:val="22"/>
          <w:u w:val="single"/>
        </w:rPr>
      </w:pPr>
      <w:r>
        <w:rPr>
          <w:rFonts w:eastAsia="Arial" w:cs="Arial"/>
          <w:b/>
          <w:bCs/>
          <w:sz w:val="22"/>
          <w:szCs w:val="22"/>
          <w:u w:val="single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eastAsia="Arial" w:cs="Arial"/>
          <w:b/>
          <w:bCs/>
          <w:u w:val="single"/>
        </w:rPr>
      </w:pPr>
      <w:r>
        <w:rPr>
          <w:rFonts w:eastAsia="Arial" w:cs="Arial" w:ascii="Arial" w:hAnsi="Arial"/>
          <w:b/>
          <w:bCs/>
          <w:u w:val="single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eastAsia="Arial" w:cs="Arial"/>
          <w:b/>
          <w:bCs/>
          <w:u w:val="single"/>
        </w:rPr>
      </w:pPr>
      <w:r>
        <w:rPr>
          <w:rFonts w:eastAsia="Arial" w:cs="Arial" w:ascii="Arial" w:hAnsi="Arial"/>
          <w:b/>
          <w:bCs/>
          <w:u w:val="single"/>
        </w:rPr>
      </w:r>
    </w:p>
    <w:p>
      <w:pPr>
        <w:pStyle w:val="Normal"/>
        <w:tabs>
          <w:tab w:val="clear" w:pos="708"/>
          <w:tab w:val="left" w:pos="567" w:leader="none"/>
        </w:tabs>
        <w:spacing w:before="0" w:after="160"/>
        <w:jc w:val="both"/>
        <w:rPr>
          <w:rFonts w:ascii="Arial" w:hAnsi="Arial" w:eastAsia="Arial" w:cs="Arial"/>
          <w:b/>
          <w:bCs/>
          <w:u w:val="single"/>
        </w:rPr>
      </w:pPr>
      <w:r>
        <w:rPr>
          <w:rFonts w:eastAsia="Arial" w:cs="Arial" w:ascii="Arial" w:hAnsi="Arial"/>
          <w:b/>
          <w:bCs/>
          <w:u w:val="single"/>
        </w:rPr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26" w:type="dxa"/>
      <w:jc w:val="left"/>
      <w:tblInd w:w="7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968"/>
      <w:gridCol w:w="2218"/>
      <w:gridCol w:w="5388"/>
      <w:gridCol w:w="851"/>
    </w:tblGrid>
    <w:tr>
      <w:trPr/>
      <w:tc>
        <w:tcPr>
          <w:tcW w:w="968" w:type="dxa"/>
          <w:tcBorders>
            <w:top w:val="single" w:sz="4" w:space="0" w:color="000000"/>
          </w:tcBorders>
        </w:tcPr>
        <w:p>
          <w:pPr>
            <w:pStyle w:val="Footer"/>
            <w:rPr>
              <w:sz w:val="20"/>
            </w:rPr>
          </w:pPr>
          <w:r>
            <w:rPr>
              <w:sz w:val="20"/>
            </w:rPr>
            <w:t>Verzia:</w:t>
          </w:r>
        </w:p>
      </w:tc>
      <w:tc>
        <w:tcPr>
          <w:tcW w:w="2218" w:type="dxa"/>
          <w:tcBorders>
            <w:top w:val="single" w:sz="4" w:space="0" w:color="000000"/>
          </w:tcBorders>
        </w:tcPr>
        <w:p>
          <w:pPr>
            <w:pStyle w:val="Footer"/>
            <w:rPr>
              <w:sz w:val="20"/>
            </w:rPr>
          </w:pPr>
          <w:r>
            <w:rPr>
              <w:sz w:val="20"/>
            </w:rPr>
            <w:t>V.</w:t>
          </w:r>
        </w:p>
      </w:tc>
      <w:tc>
        <w:tcPr>
          <w:tcW w:w="5388" w:type="dxa"/>
          <w:tcBorders>
            <w:top w:val="single" w:sz="4" w:space="0" w:color="000000"/>
          </w:tcBorders>
        </w:tcPr>
        <w:p>
          <w:pPr>
            <w:pStyle w:val="Char"/>
            <w:spacing w:before="0" w:after="0"/>
            <w:jc w:val="right"/>
            <w:rPr>
              <w:lang w:val="sk-SK"/>
            </w:rPr>
          </w:pPr>
          <w:r>
            <w:rPr>
              <w:lang w:val="sk-SK"/>
            </w:rPr>
          </w:r>
        </w:p>
      </w:tc>
      <w:tc>
        <w:tcPr>
          <w:tcW w:w="851" w:type="dxa"/>
          <w:tcBorders>
            <w:top w:val="single" w:sz="4" w:space="0" w:color="000000"/>
          </w:tcBorders>
        </w:tcPr>
        <w:p>
          <w:pPr>
            <w:pStyle w:val="Footer"/>
            <w:tabs>
              <w:tab w:val="center" w:pos="4536" w:leader="none"/>
              <w:tab w:val="right" w:pos="5030" w:leader="none"/>
              <w:tab w:val="right" w:pos="9072" w:leader="none"/>
            </w:tabs>
            <w:jc w:val="right"/>
            <w:rPr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5</w:t>
          </w:r>
          <w:r>
            <w:rPr>
              <w:sz w:val="20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ind w:left="0"/>
        <w:jc w:val="both"/>
        <w:rPr/>
      </w:pPr>
      <w:r>
        <w:rPr>
          <w:rStyle w:val="Znakyprepoznmkupodiarou"/>
        </w:rPr>
        <w:footnoteRef/>
      </w:r>
      <w:r>
        <w:rPr/>
        <w:t xml:space="preserve"> </w:t>
      </w:r>
      <w:r>
        <w:rPr>
          <w:rFonts w:eastAsia="Times New Roman" w:cs="Times New Roman"/>
          <w:color w:themeColor="text1" w:themeTint="a5" w:val="000000"/>
          <w:sz w:val="18"/>
          <w:szCs w:val="18"/>
          <w:lang w:eastAsia="sk-SK"/>
        </w:rPr>
        <w:t>Len v prípade predloženia po schválení ŽoNFP.</w:t>
      </w:r>
    </w:p>
  </w:footnote>
  <w:footnote w:id="3">
    <w:p>
      <w:pPr>
        <w:pStyle w:val="FootnoteText"/>
        <w:ind w:left="0"/>
        <w:jc w:val="both"/>
        <w:rPr/>
      </w:pPr>
      <w:r>
        <w:rPr>
          <w:rStyle w:val="Znakyprepoznmkupodiarou"/>
        </w:rPr>
        <w:footnoteRef/>
      </w:r>
      <w:r>
        <w:rPr/>
        <w:t xml:space="preserve"> </w:t>
      </w:r>
      <w:r>
        <w:rPr>
          <w:rFonts w:eastAsia="Times New Roman" w:cs="Times New Roman"/>
          <w:color w:themeColor="text1" w:themeTint="a5" w:val="000000"/>
          <w:sz w:val="18"/>
          <w:szCs w:val="18"/>
          <w:lang w:eastAsia="sk-SK"/>
        </w:rPr>
        <w:t>Nehodiace sa preškrtnite.</w:t>
      </w:r>
    </w:p>
  </w:footnote>
  <w:footnote w:id="4">
    <w:p>
      <w:pPr>
        <w:pStyle w:val="FootnoteText"/>
        <w:ind w:left="0"/>
        <w:jc w:val="both"/>
        <w:rPr/>
      </w:pPr>
      <w:r>
        <w:rPr>
          <w:rStyle w:val="Znakyprepoznmkupodiarou"/>
        </w:rPr>
        <w:footnoteRef/>
      </w:r>
      <w:r>
        <w:rPr/>
        <w:t xml:space="preserve"> </w:t>
      </w:r>
      <w:r>
        <w:rPr>
          <w:rFonts w:eastAsia="Times New Roman" w:cs="Times New Roman"/>
          <w:color w:themeColor="text1" w:themeTint="a5" w:val="000000"/>
          <w:sz w:val="18"/>
          <w:szCs w:val="18"/>
          <w:lang w:eastAsia="sk-SK"/>
        </w:rPr>
        <w:t>Nehodiace sa preškrtnite - áno ostáva, ak ide o výzvu s predĺženou lehotou.</w:t>
      </w:r>
    </w:p>
  </w:footnote>
  <w:footnote w:id="5">
    <w:p>
      <w:pPr>
        <w:pStyle w:val="FootnoteText"/>
        <w:ind w:left="0"/>
        <w:jc w:val="both"/>
        <w:rPr/>
      </w:pPr>
      <w:r>
        <w:rPr>
          <w:rStyle w:val="Znakyprepoznmkupodiarou"/>
        </w:rPr>
        <w:footnoteRef/>
      </w:r>
      <w:r>
        <w:rPr/>
        <w:t xml:space="preserve"> </w:t>
      </w:r>
      <w:r>
        <w:rPr>
          <w:rFonts w:eastAsia="Times New Roman" w:cs="Times New Roman"/>
          <w:color w:themeColor="text1" w:themeTint="a5" w:val="000000"/>
          <w:sz w:val="18"/>
          <w:szCs w:val="18"/>
          <w:lang w:eastAsia="sk-SK"/>
        </w:rPr>
        <w:t>Definuje sa spôsob predloženia – typ dokumentu, ktorý má potencionálny dodávateľ predložiť.</w:t>
      </w:r>
    </w:p>
  </w:footnote>
  <w:footnote w:id="6">
    <w:p>
      <w:pPr>
        <w:pStyle w:val="FootnoteText"/>
        <w:ind w:left="0"/>
        <w:jc w:val="both"/>
        <w:rPr>
          <w:rFonts w:ascii="Calibri" w:hAnsi="Calibri" w:eastAsia="Times New Roman" w:cs="Times New Roman"/>
          <w:color w:val="000000"/>
          <w:sz w:val="18"/>
          <w:szCs w:val="18"/>
          <w:lang w:eastAsia="sk-SK"/>
        </w:rPr>
      </w:pPr>
      <w:r>
        <w:rPr>
          <w:rStyle w:val="Znakyprepoznmkupodiarou"/>
        </w:rPr>
        <w:footnoteRef/>
      </w:r>
      <w:r>
        <w:rPr>
          <w:sz w:val="18"/>
          <w:szCs w:val="18"/>
        </w:rPr>
        <w:t xml:space="preserve"> </w:t>
      </w:r>
      <w:r>
        <w:rPr>
          <w:rFonts w:eastAsia="Times New Roman" w:cs="Times New Roman"/>
          <w:color w:themeColor="text1" w:themeTint="a5" w:val="000000"/>
          <w:sz w:val="18"/>
          <w:szCs w:val="18"/>
          <w:lang w:eastAsia="sk-SK"/>
        </w:rPr>
        <w:t>Doplniť a špecifikovať, čo má potencionálny dodávateľ preukázať a akou formou, ak je relevantné.</w:t>
      </w:r>
    </w:p>
  </w:footnote>
  <w:footnote w:id="7">
    <w:p>
      <w:pPr>
        <w:pStyle w:val="FootnoteText"/>
        <w:ind w:left="0"/>
        <w:jc w:val="both"/>
        <w:rPr>
          <w:rFonts w:ascii="Calibri" w:hAnsi="Calibri" w:eastAsia="Times New Roman" w:cs="Times New Roman"/>
          <w:color w:val="000000"/>
          <w:sz w:val="18"/>
          <w:szCs w:val="18"/>
          <w:lang w:eastAsia="sk-SK"/>
        </w:rPr>
      </w:pPr>
      <w:r>
        <w:rPr>
          <w:rStyle w:val="Znakyprepoznmkupodiarou"/>
        </w:rPr>
        <w:footnoteRef/>
      </w:r>
      <w:r>
        <w:rPr>
          <w:sz w:val="18"/>
          <w:szCs w:val="18"/>
        </w:rPr>
        <w:t xml:space="preserve"> </w:t>
      </w:r>
      <w:r>
        <w:rPr>
          <w:rFonts w:eastAsia="Times New Roman" w:cs="Times New Roman"/>
          <w:color w:themeColor="text1" w:themeTint="a5" w:val="000000"/>
          <w:sz w:val="18"/>
          <w:szCs w:val="18"/>
          <w:lang w:eastAsia="sk-SK"/>
        </w:rPr>
        <w:t>Doplniť, ak je relevantné.</w:t>
      </w:r>
    </w:p>
  </w:footnote>
  <w:footnote w:id="8">
    <w:p>
      <w:pPr>
        <w:pStyle w:val="FootnoteText"/>
        <w:ind w:left="0"/>
        <w:jc w:val="both"/>
        <w:rPr/>
      </w:pPr>
      <w:r>
        <w:rPr>
          <w:rStyle w:val="Znakyprepoznmkupodiarou"/>
        </w:rPr>
        <w:footnoteRef/>
      </w:r>
      <w:r>
        <w:rPr>
          <w:rStyle w:val="Znakyprepoznmkupodiarou"/>
        </w:rPr>
        <w:t xml:space="preserve"> </w:t>
      </w:r>
      <w:r>
        <w:rPr>
          <w:rFonts w:eastAsia="Times New Roman" w:cs="Times New Roman"/>
          <w:color w:themeColor="text1" w:themeTint="a5" w:val="000000"/>
          <w:sz w:val="18"/>
          <w:szCs w:val="18"/>
          <w:lang w:eastAsia="sk-SK"/>
        </w:rPr>
        <w:t>Doplniť, ak je relevantné.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40"/>
      <w:rPr>
        <w:sz w:val="18"/>
        <w:szCs w:val="18"/>
      </w:rPr>
    </w:pPr>
    <w:r>
      <w:rPr>
        <w:sz w:val="18"/>
        <w:szCs w:val="18"/>
      </w:rPr>
      <w:t xml:space="preserve">Príloha č. 3                                                                                                                                                      </w:t>
    </w:r>
    <w:r>
      <w:rPr>
        <w:b/>
        <w:bCs/>
        <w:sz w:val="18"/>
        <w:szCs w:val="18"/>
      </w:rPr>
      <w:t>Sekcia projektových podpôr</w:t>
    </w:r>
    <w:r>
      <w:rPr>
        <w:sz w:val="18"/>
        <w:szCs w:val="18"/>
      </w:rPr>
      <w:t xml:space="preserve">                          </w:t>
    </w:r>
  </w:p>
  <w:p>
    <w:pPr>
      <w:pStyle w:val="Footer"/>
      <w:jc w:val="center"/>
      <w:rPr>
        <w:sz w:val="20"/>
      </w:rPr>
    </w:pPr>
    <w:r>
      <w:rPr>
        <w:sz w:val="20"/>
      </w:rPr>
      <w:t xml:space="preserve">K Usmerneniu Pôdohospodárskej platobnej agentúry č. 8/2017 k obstarávaniu tovarov, stavebných prác a služieb financovaných z PRV SR 2014 - 2022 -  Výzva na predkladanie ponúk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8"/>
  <w:autoHyphenation w:val="true"/>
  <w:footnotePr>
    <w:numFmt w:val="decimal"/>
    <w:footnote w:id="0"/>
    <w:footnote w:id="1"/>
  </w:footnotePr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lavikaChar" w:customStyle="1">
    <w:name w:val="Hlavička Char"/>
    <w:basedOn w:val="DefaultParagraphFont"/>
    <w:uiPriority w:val="99"/>
    <w:qFormat/>
    <w:rsid w:val="00590007"/>
    <w:rPr/>
  </w:style>
  <w:style w:type="character" w:styleId="PtaChar" w:customStyle="1">
    <w:name w:val="Päta Char"/>
    <w:basedOn w:val="DefaultParagraphFont"/>
    <w:qFormat/>
    <w:rsid w:val="00590007"/>
    <w:rPr/>
  </w:style>
  <w:style w:type="character" w:styleId="Znakyprepoznmkupodiarou">
    <w:name w:val="Znaky pre poznámku pod čiarou"/>
    <w:unhideWhenUsed/>
    <w:qFormat/>
    <w:rsid w:val="0059000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kladntext2Char" w:customStyle="1">
    <w:name w:val="Základný text 2 Char"/>
    <w:basedOn w:val="DefaultParagraphFont"/>
    <w:link w:val="BodyText2"/>
    <w:qFormat/>
    <w:rsid w:val="00590007"/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character" w:styleId="TextpoznmkypodiarouChar" w:customStyle="1">
    <w:name w:val="Text poznámky pod čiarou Char"/>
    <w:basedOn w:val="DefaultParagraphFont"/>
    <w:uiPriority w:val="99"/>
    <w:qFormat/>
    <w:rsid w:val="00590007"/>
    <w:rPr>
      <w:rFonts w:eastAsia="" w:eastAsiaTheme="minorEastAsia"/>
      <w:color w:themeColor="text1" w:themeTint="a5" w:val="5A5A5A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Znakyprekoncovpoznmku">
    <w:name w:val="Znaky pre koncovú poznámku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lavikaapta">
    <w:name w:val="Hlavička a päta"/>
    <w:basedOn w:val="Normal"/>
    <w:qFormat/>
    <w:pPr/>
    <w:rPr/>
  </w:style>
  <w:style w:type="paragraph" w:styleId="Header">
    <w:name w:val="Header"/>
    <w:basedOn w:val="Normal"/>
    <w:link w:val="HlavikaChar"/>
    <w:uiPriority w:val="99"/>
    <w:unhideWhenUsed/>
    <w:rsid w:val="0059000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taChar"/>
    <w:unhideWhenUsed/>
    <w:rsid w:val="0059000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har" w:customStyle="1">
    <w:name w:val="Char"/>
    <w:basedOn w:val="Normal"/>
    <w:qFormat/>
    <w:rsid w:val="00590007"/>
    <w:pPr>
      <w:spacing w:lineRule="exact" w:line="240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Zkladntext2Char"/>
    <w:qFormat/>
    <w:rsid w:val="00590007"/>
    <w:pPr>
      <w:spacing w:lineRule="auto" w:line="240" w:before="0" w:after="0"/>
    </w:pPr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paragraph" w:styleId="FootnoteText">
    <w:name w:val="Footnote Text"/>
    <w:basedOn w:val="Normal"/>
    <w:link w:val="TextpoznmkypodiarouChar"/>
    <w:uiPriority w:val="99"/>
    <w:unhideWhenUsed/>
    <w:rsid w:val="00590007"/>
    <w:pPr>
      <w:spacing w:lineRule="auto" w:line="240" w:before="0" w:after="0"/>
      <w:ind w:left="2160"/>
    </w:pPr>
    <w:rPr>
      <w:rFonts w:eastAsia="" w:eastAsiaTheme="minorEastAsia"/>
      <w:color w:themeColor="text1" w:themeTint="a5" w:val="5A5A5A"/>
      <w:sz w:val="20"/>
      <w:szCs w:val="20"/>
    </w:rPr>
  </w:style>
  <w:style w:type="paragraph" w:styleId="NoSpacing">
    <w:name w:val="No Spacing"/>
    <w:uiPriority w:val="1"/>
    <w:qFormat/>
    <w:rsid w:val="0059000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590007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1">
    <w:name w:val="WW8Num11"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Application>LibreOffice/7.6.4.1$Windows_X86_64 LibreOffice_project/e19e193f88cd6c0525a17fb7a176ed8e6a3e2aa1</Application>
  <AppVersion>15.0000</AppVersion>
  <Pages>5</Pages>
  <Words>1155</Words>
  <Characters>7933</Characters>
  <CharactersWithSpaces>9238</CharactersWithSpaces>
  <Paragraphs>135</Paragraphs>
  <Company>PPA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2023-09-14T08:25:00Z</dcterms:created>
  <dc:creator>Uhlár René</dc:creator>
  <dc:description/>
  <dc:language>sk-SK</dc:language>
  <cp:lastModifiedBy/>
  <dcterms:modified xsi:type="dcterms:W3CDTF">2024-02-26T15:04:34Z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