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7D1659FD" w14:textId="77777777" w:rsidR="00D61578" w:rsidRDefault="00D61578"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29EE9D74" w14:textId="77777777" w:rsidR="00D61578" w:rsidRDefault="00D61578" w:rsidP="00257108">
      <w:pPr>
        <w:widowControl w:val="0"/>
        <w:tabs>
          <w:tab w:val="right" w:leader="dot" w:pos="10080"/>
        </w:tabs>
        <w:spacing w:before="120"/>
        <w:ind w:left="1980" w:hanging="1980"/>
        <w:jc w:val="both"/>
        <w:rPr>
          <w:rFonts w:ascii="Arial" w:hAnsi="Arial" w:cs="Arial"/>
        </w:rPr>
      </w:pPr>
    </w:p>
    <w:p w14:paraId="263E7BE4" w14:textId="77777777" w:rsidR="00D61578" w:rsidRDefault="00D61578"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5F616FDD"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p>
    <w:p w14:paraId="10C62974" w14:textId="2A49EB04" w:rsidR="00694487" w:rsidRDefault="00D33544" w:rsidP="00D61578">
      <w:pPr>
        <w:widowControl w:val="0"/>
        <w:jc w:val="both"/>
        <w:rPr>
          <w:rFonts w:ascii="Arial" w:hAnsi="Arial" w:cs="Arial"/>
          <w:sz w:val="22"/>
          <w:szCs w:val="22"/>
        </w:rPr>
      </w:pPr>
      <w:r>
        <w:rPr>
          <w:rFonts w:ascii="Arial" w:hAnsi="Arial" w:cs="Arial"/>
          <w:sz w:val="22"/>
          <w:szCs w:val="22"/>
        </w:rPr>
        <w:t>p</w:t>
      </w:r>
      <w:r w:rsidRPr="00D33544">
        <w:rPr>
          <w:rFonts w:ascii="Arial" w:hAnsi="Arial" w:cs="Arial"/>
          <w:sz w:val="22"/>
          <w:szCs w:val="22"/>
        </w:rPr>
        <w:t xml:space="preserve">renájom časti pozemku parcely registra „C“ KN, parcelné číslo </w:t>
      </w:r>
      <w:r w:rsidR="006D0B85">
        <w:rPr>
          <w:rFonts w:ascii="Arial" w:hAnsi="Arial" w:cs="Arial"/>
          <w:sz w:val="22"/>
          <w:szCs w:val="22"/>
        </w:rPr>
        <w:t>9193/49</w:t>
      </w:r>
      <w:r w:rsidRPr="00D33544">
        <w:rPr>
          <w:rFonts w:ascii="Arial" w:hAnsi="Arial" w:cs="Arial"/>
          <w:sz w:val="22"/>
          <w:szCs w:val="22"/>
        </w:rPr>
        <w:t xml:space="preserve">, o výmere </w:t>
      </w:r>
      <w:r w:rsidR="006D0B85">
        <w:rPr>
          <w:rFonts w:ascii="Arial" w:hAnsi="Arial" w:cs="Arial"/>
          <w:sz w:val="22"/>
          <w:szCs w:val="22"/>
        </w:rPr>
        <w:t>1</w:t>
      </w:r>
      <w:r w:rsidRPr="00D33544">
        <w:rPr>
          <w:rFonts w:ascii="Arial" w:hAnsi="Arial" w:cs="Arial"/>
          <w:sz w:val="22"/>
          <w:szCs w:val="22"/>
        </w:rPr>
        <w:t>00 m², druh pozemku: zastavaná  plocha a nádvorie, zapísanom na liste vlastníctva číslo 882, vedenom Okresným úradom Bratislava, katastrálny odbor, katastrálne územie: Nivy, obec: Bratislava- Ružinov, okres Bratislava II</w:t>
      </w:r>
    </w:p>
    <w:p w14:paraId="63F4B216" w14:textId="77777777" w:rsidR="0015685B" w:rsidRPr="00694487" w:rsidRDefault="0015685B" w:rsidP="0015685B">
      <w:pPr>
        <w:widowControl w:val="0"/>
        <w:spacing w:before="120"/>
        <w:jc w:val="both"/>
        <w:rPr>
          <w:rFonts w:ascii="Arial" w:eastAsia="Arial" w:hAnsi="Arial" w:cs="Arial"/>
          <w:b/>
          <w:color w:val="000000" w:themeColor="text1"/>
        </w:rPr>
      </w:pPr>
    </w:p>
    <w:p w14:paraId="571D9380" w14:textId="66A28D07" w:rsidR="00862BE0" w:rsidRDefault="00862BE0" w:rsidP="00257108">
      <w:pPr>
        <w:pStyle w:val="Zkladntext3"/>
        <w:widowControl w:val="0"/>
        <w:spacing w:before="120"/>
        <w:jc w:val="both"/>
        <w:rPr>
          <w:rFonts w:ascii="Arial" w:hAnsi="Arial" w:cs="Arial"/>
          <w:color w:val="auto"/>
        </w:rPr>
      </w:pPr>
    </w:p>
    <w:p w14:paraId="7B09F242" w14:textId="77777777" w:rsidR="00D61578" w:rsidRDefault="00D61578" w:rsidP="00257108">
      <w:pPr>
        <w:pStyle w:val="Zkladntext3"/>
        <w:widowControl w:val="0"/>
        <w:spacing w:before="120"/>
        <w:jc w:val="both"/>
        <w:rPr>
          <w:rFonts w:ascii="Arial" w:hAnsi="Arial" w:cs="Arial"/>
          <w:color w:val="auto"/>
        </w:rPr>
      </w:pPr>
    </w:p>
    <w:p w14:paraId="5A593993" w14:textId="77777777" w:rsidR="00D61578" w:rsidRDefault="00D61578" w:rsidP="00257108">
      <w:pPr>
        <w:pStyle w:val="Zkladntext3"/>
        <w:widowControl w:val="0"/>
        <w:spacing w:before="120"/>
        <w:jc w:val="both"/>
        <w:rPr>
          <w:rFonts w:ascii="Arial" w:hAnsi="Arial" w:cs="Arial"/>
          <w:color w:val="auto"/>
        </w:rPr>
      </w:pPr>
    </w:p>
    <w:p w14:paraId="0509362A" w14:textId="4D6F9CF5" w:rsidR="00360D61" w:rsidRDefault="00360D61" w:rsidP="00257108">
      <w:pPr>
        <w:pStyle w:val="Zkladntext3"/>
        <w:widowControl w:val="0"/>
        <w:spacing w:before="120"/>
        <w:jc w:val="both"/>
        <w:rPr>
          <w:rFonts w:ascii="Arial" w:hAnsi="Arial" w:cs="Arial"/>
          <w:color w:val="auto"/>
        </w:rPr>
      </w:pPr>
    </w:p>
    <w:p w14:paraId="1B99A13A" w14:textId="6FCAE79D" w:rsidR="009D418C" w:rsidRDefault="009D418C"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162F2F9C" w14:textId="34048D42"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p>
    <w:p w14:paraId="511DC4A8" w14:textId="1D81E28D" w:rsidR="00D34AD7" w:rsidRPr="00D34AD7" w:rsidRDefault="00B404FB" w:rsidP="00CB4406">
      <w:pPr>
        <w:pStyle w:val="Zkladntext3"/>
        <w:widowControl w:val="0"/>
        <w:jc w:val="both"/>
        <w:rPr>
          <w:rFonts w:ascii="Arial" w:hAnsi="Arial" w:cs="Arial"/>
          <w:color w:val="000000" w:themeColor="text1"/>
        </w:rPr>
      </w:pPr>
      <w:r w:rsidRPr="00C062A1">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002B2EC2">
        <w:rPr>
          <w:rFonts w:ascii="Arial" w:hAnsi="Arial" w:cs="Arial"/>
          <w:color w:val="auto"/>
        </w:rPr>
        <w:tab/>
      </w:r>
      <w:r w:rsidR="002B2EC2">
        <w:rPr>
          <w:rFonts w:ascii="Arial" w:hAnsi="Arial" w:cs="Arial"/>
          <w:color w:val="auto"/>
        </w:rPr>
        <w:tab/>
      </w:r>
      <w:r w:rsidR="00861BFE">
        <w:rPr>
          <w:rFonts w:ascii="Arial" w:hAnsi="Arial" w:cs="Arial"/>
          <w:color w:val="auto"/>
        </w:rPr>
        <w:tab/>
      </w:r>
      <w:r w:rsidR="00861BFE">
        <w:rPr>
          <w:rFonts w:ascii="Arial" w:hAnsi="Arial" w:cs="Arial"/>
          <w:color w:val="auto"/>
        </w:rPr>
        <w:tab/>
        <w:t>Mgr. Matej Danóci</w:t>
      </w:r>
    </w:p>
    <w:p w14:paraId="2C0A975A" w14:textId="045A9F91" w:rsidR="00830A46" w:rsidRDefault="00830A46" w:rsidP="00CB4406">
      <w:pPr>
        <w:pStyle w:val="Zkladntext3"/>
        <w:widowControl w:val="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00861BFE">
        <w:rPr>
          <w:rFonts w:ascii="Arial" w:hAnsi="Arial" w:cs="Arial"/>
          <w:color w:val="auto"/>
        </w:rPr>
        <w:tab/>
      </w:r>
      <w:r w:rsidR="00861BFE">
        <w:rPr>
          <w:rFonts w:ascii="Arial" w:hAnsi="Arial" w:cs="Arial"/>
          <w:color w:val="auto"/>
        </w:rPr>
        <w:tab/>
      </w:r>
      <w:r w:rsidR="00861BFE">
        <w:rPr>
          <w:rFonts w:ascii="Arial" w:hAnsi="Arial" w:cs="Arial"/>
          <w:color w:val="auto"/>
        </w:rPr>
        <w:tab/>
        <w:t xml:space="preserve">jediný </w:t>
      </w:r>
      <w:r>
        <w:rPr>
          <w:rFonts w:ascii="Arial" w:hAnsi="Arial" w:cs="Arial"/>
          <w:color w:val="auto"/>
        </w:rPr>
        <w:t>člen predstavenstva</w:t>
      </w:r>
      <w:r>
        <w:rPr>
          <w:rFonts w:ascii="Arial" w:hAnsi="Arial" w:cs="Arial"/>
          <w:color w:val="auto"/>
        </w:rPr>
        <w:tab/>
      </w:r>
    </w:p>
    <w:p w14:paraId="26F84B0B" w14:textId="038158BA" w:rsidR="00B404FB" w:rsidRPr="00C062A1" w:rsidRDefault="00B404FB" w:rsidP="00CB4406">
      <w:pPr>
        <w:pStyle w:val="Zkladntext3"/>
        <w:widowControl w:val="0"/>
        <w:jc w:val="both"/>
        <w:rPr>
          <w:rFonts w:ascii="Arial" w:hAnsi="Arial" w:cs="Arial"/>
          <w:color w:val="auto"/>
        </w:rPr>
      </w:pPr>
      <w:r w:rsidRPr="00C062A1">
        <w:rPr>
          <w:rFonts w:ascii="Arial" w:hAnsi="Arial" w:cs="Arial"/>
          <w:color w:val="auto"/>
        </w:rPr>
        <w:tab/>
      </w:r>
      <w:r w:rsidR="00CB4406">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002B2EC2">
        <w:rPr>
          <w:rFonts w:ascii="Arial" w:hAnsi="Arial" w:cs="Arial"/>
          <w:color w:val="auto"/>
        </w:rPr>
        <w:tab/>
      </w:r>
      <w:r w:rsidR="002B2EC2">
        <w:rPr>
          <w:rFonts w:ascii="Arial" w:hAnsi="Arial" w:cs="Arial"/>
          <w:color w:val="auto"/>
        </w:rPr>
        <w:tab/>
      </w:r>
      <w:r w:rsidR="00861BFE">
        <w:rPr>
          <w:rFonts w:ascii="Arial" w:hAnsi="Arial" w:cs="Arial"/>
          <w:color w:val="auto"/>
        </w:rPr>
        <w:tab/>
      </w:r>
      <w:r w:rsidR="00861BFE">
        <w:rPr>
          <w:rFonts w:ascii="Arial" w:hAnsi="Arial" w:cs="Arial"/>
          <w:color w:val="auto"/>
        </w:rPr>
        <w:tab/>
      </w:r>
      <w:r w:rsidR="00830A46">
        <w:rPr>
          <w:rFonts w:ascii="Arial" w:hAnsi="Arial" w:cs="Arial"/>
          <w:color w:val="auto"/>
        </w:rPr>
        <w:t>Verejné prístavy, a.</w:t>
      </w:r>
      <w:r w:rsidR="00182D0E">
        <w:rPr>
          <w:rFonts w:ascii="Arial" w:hAnsi="Arial" w:cs="Arial"/>
          <w:color w:val="auto"/>
        </w:rPr>
        <w:t xml:space="preserve"> </w:t>
      </w:r>
      <w:r w:rsidR="00830A46">
        <w:rPr>
          <w:rFonts w:ascii="Arial" w:hAnsi="Arial" w:cs="Arial"/>
          <w:color w:val="auto"/>
        </w:rPr>
        <w:t>s.</w:t>
      </w:r>
      <w:r w:rsidRPr="00C062A1">
        <w:rPr>
          <w:rFonts w:ascii="Arial" w:hAnsi="Arial" w:cs="Arial"/>
          <w:color w:val="auto"/>
        </w:rPr>
        <w:tab/>
      </w:r>
      <w:r w:rsidRPr="00C062A1">
        <w:rPr>
          <w:rFonts w:ascii="Arial" w:hAnsi="Arial" w:cs="Arial"/>
          <w:color w:val="auto"/>
        </w:rPr>
        <w:tab/>
      </w:r>
    </w:p>
    <w:p w14:paraId="107BBAF1" w14:textId="660591C4" w:rsidR="00D34AD7" w:rsidRPr="00E15FBE" w:rsidRDefault="00D34AD7" w:rsidP="00D34AD7">
      <w:pPr>
        <w:widowControl w:val="0"/>
        <w:jc w:val="both"/>
        <w:rPr>
          <w:rFonts w:ascii="Arial" w:hAnsi="Arial" w:cs="Arial"/>
          <w:sz w:val="20"/>
          <w:szCs w:val="20"/>
        </w:rPr>
      </w:pPr>
    </w:p>
    <w:p w14:paraId="75BF58D5" w14:textId="48BF353E" w:rsidR="00D34AD7" w:rsidRPr="00E15FBE" w:rsidRDefault="00D34AD7" w:rsidP="00D34AD7">
      <w:pPr>
        <w:widowControl w:val="0"/>
        <w:jc w:val="both"/>
        <w:rPr>
          <w:rFonts w:ascii="Arial" w:hAnsi="Arial" w:cs="Arial"/>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48BFE6CE" w14:textId="2A81CACA" w:rsidR="00D34AD7" w:rsidRPr="00E15FBE" w:rsidRDefault="00D34AD7" w:rsidP="00D34AD7">
      <w:pPr>
        <w:widowControl w:val="0"/>
        <w:ind w:left="708" w:firstLine="708"/>
        <w:jc w:val="both"/>
        <w:rPr>
          <w:rFonts w:ascii="Arial" w:hAnsi="Arial" w:cs="Arial"/>
          <w:sz w:val="20"/>
          <w:szCs w:val="20"/>
        </w:rPr>
      </w:pPr>
      <w:r w:rsidRPr="00E15FBE">
        <w:rPr>
          <w:rFonts w:ascii="Arial" w:hAnsi="Arial" w:cs="Arial"/>
          <w:sz w:val="20"/>
          <w:szCs w:val="20"/>
        </w:rPr>
        <w:tab/>
      </w:r>
    </w:p>
    <w:p w14:paraId="7FB830AF" w14:textId="77777777" w:rsidR="00BC52EC" w:rsidRPr="00C74D1C" w:rsidRDefault="00BC52EC" w:rsidP="00257108">
      <w:pPr>
        <w:pStyle w:val="Zarkazkladnhotextu3"/>
        <w:widowControl w:val="0"/>
        <w:spacing w:before="120"/>
        <w:ind w:left="0" w:right="-227"/>
        <w:jc w:val="both"/>
        <w:rPr>
          <w:rFonts w:ascii="Arial" w:hAnsi="Arial" w:cs="Arial"/>
          <w:b/>
          <w:bCs/>
          <w:sz w:val="20"/>
          <w:szCs w:val="20"/>
        </w:rPr>
      </w:pP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7535DC96"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861BFE">
        <w:rPr>
          <w:rFonts w:ascii="Arial" w:hAnsi="Arial" w:cs="Arial"/>
          <w:b/>
          <w:color w:val="auto"/>
        </w:rPr>
        <w:t>2</w:t>
      </w:r>
      <w:r w:rsidR="00763ABE" w:rsidRPr="002C7975">
        <w:rPr>
          <w:rFonts w:ascii="Arial" w:hAnsi="Arial" w:cs="Arial"/>
          <w:b/>
          <w:color w:val="auto"/>
        </w:rPr>
        <w:t>/</w:t>
      </w:r>
      <w:r w:rsidR="00181EAD" w:rsidRPr="002C7975">
        <w:rPr>
          <w:rFonts w:ascii="Arial" w:hAnsi="Arial" w:cs="Arial"/>
          <w:b/>
          <w:color w:val="auto"/>
        </w:rPr>
        <w:t>202</w:t>
      </w:r>
      <w:r w:rsidR="00861BFE">
        <w:rPr>
          <w:rFonts w:ascii="Arial" w:hAnsi="Arial" w:cs="Arial"/>
          <w:b/>
          <w:color w:val="auto"/>
        </w:rPr>
        <w:t>4</w:t>
      </w:r>
      <w:r w:rsidR="00F3652B">
        <w:rPr>
          <w:rFonts w:ascii="Arial" w:hAnsi="Arial" w:cs="Arial"/>
          <w:b/>
        </w:rPr>
        <w:br w:type="page"/>
      </w:r>
      <w:bookmarkStart w:id="0" w:name="_Toc139092489"/>
      <w:bookmarkStart w:id="1" w:name="_Toc285805740"/>
      <w:bookmarkStart w:id="2" w:name="_Toc452380398"/>
      <w:bookmarkStart w:id="3"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4" w:name="_Toc285805741"/>
      <w:bookmarkStart w:id="5" w:name="_Toc452380399"/>
      <w:bookmarkStart w:id="6" w:name="_Toc455143868"/>
      <w:bookmarkStart w:id="7" w:name="_Toc485116275"/>
      <w:bookmarkStart w:id="8" w:name="_Toc498341708"/>
      <w:bookmarkStart w:id="9" w:name="_Toc51675980"/>
      <w:bookmarkStart w:id="10" w:name="_Toc139092064"/>
      <w:bookmarkStart w:id="11" w:name="_Toc139092223"/>
      <w:bookmarkStart w:id="12" w:name="_Toc139092492"/>
      <w:r w:rsidRPr="00C74D1C">
        <w:t>Všeobecné informácie</w:t>
      </w:r>
      <w:bookmarkEnd w:id="4"/>
      <w:bookmarkEnd w:id="5"/>
      <w:bookmarkEnd w:id="6"/>
      <w:bookmarkEnd w:id="7"/>
      <w:bookmarkEnd w:id="8"/>
      <w:bookmarkEnd w:id="9"/>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3" w:name="_Toc285805742"/>
      <w:bookmarkStart w:id="14" w:name="_Toc452380400"/>
      <w:bookmarkStart w:id="15" w:name="_Toc485116276"/>
      <w:bookmarkStart w:id="16" w:name="_Toc139092065"/>
      <w:bookmarkStart w:id="17" w:name="_Toc139092224"/>
      <w:bookmarkStart w:id="18" w:name="_Toc139092493"/>
      <w:bookmarkEnd w:id="10"/>
      <w:bookmarkEnd w:id="11"/>
      <w:bookmarkEnd w:id="12"/>
      <w:r w:rsidRPr="007075A9">
        <w:rPr>
          <w:rFonts w:cs="Arial"/>
          <w:b/>
          <w:szCs w:val="20"/>
        </w:rPr>
        <w:t xml:space="preserve">Identifikácia </w:t>
      </w:r>
      <w:bookmarkEnd w:id="13"/>
      <w:bookmarkEnd w:id="14"/>
      <w:bookmarkEnd w:id="15"/>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19" w:name="_Toc285805743"/>
      <w:bookmarkStart w:id="20" w:name="_Toc452380401"/>
      <w:bookmarkStart w:id="21" w:name="_Toc485116277"/>
      <w:bookmarkEnd w:id="16"/>
      <w:bookmarkEnd w:id="17"/>
      <w:bookmarkEnd w:id="18"/>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2"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2"/>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5C8F1455" w:rsidR="00973341" w:rsidRPr="00A759E1" w:rsidRDefault="00973341" w:rsidP="00797E26">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19"/>
      <w:bookmarkEnd w:id="20"/>
      <w:bookmarkEnd w:id="21"/>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69797C7A" w:rsidR="00AF61DC" w:rsidRDefault="00D33544" w:rsidP="009B1FA5">
      <w:pPr>
        <w:pStyle w:val="Nadpis3"/>
        <w:tabs>
          <w:tab w:val="clear" w:pos="540"/>
        </w:tabs>
        <w:ind w:left="709"/>
        <w:rPr>
          <w:rFonts w:eastAsia="Arial" w:cs="Arial"/>
          <w:bCs/>
          <w:szCs w:val="20"/>
        </w:rPr>
      </w:pPr>
      <w:r>
        <w:rPr>
          <w:rFonts w:eastAsia="Arial" w:cs="Arial"/>
          <w:bCs/>
          <w:szCs w:val="20"/>
        </w:rPr>
        <w:t>p</w:t>
      </w:r>
      <w:r w:rsidRPr="00D33544">
        <w:rPr>
          <w:rFonts w:eastAsia="Arial" w:cs="Arial"/>
          <w:bCs/>
          <w:szCs w:val="20"/>
        </w:rPr>
        <w:t xml:space="preserve">renájom časti pozemku parcely registra „C“ KN, parcelné číslo </w:t>
      </w:r>
      <w:r w:rsidR="006D0B85">
        <w:rPr>
          <w:rFonts w:eastAsia="Arial" w:cs="Arial"/>
          <w:bCs/>
          <w:szCs w:val="20"/>
        </w:rPr>
        <w:t>9193/49</w:t>
      </w:r>
      <w:r w:rsidRPr="00D33544">
        <w:rPr>
          <w:rFonts w:eastAsia="Arial" w:cs="Arial"/>
          <w:bCs/>
          <w:szCs w:val="20"/>
        </w:rPr>
        <w:t xml:space="preserve">, o výmere </w:t>
      </w:r>
      <w:r w:rsidR="006D0B85">
        <w:rPr>
          <w:rFonts w:eastAsia="Arial" w:cs="Arial"/>
          <w:bCs/>
          <w:szCs w:val="20"/>
        </w:rPr>
        <w:t>1</w:t>
      </w:r>
      <w:r w:rsidRPr="00D33544">
        <w:rPr>
          <w:rFonts w:eastAsia="Arial" w:cs="Arial"/>
          <w:bCs/>
          <w:szCs w:val="20"/>
        </w:rPr>
        <w:t>00 m², druh pozemku: zastavaná  plocha a nádvorie, zapísanom na liste vlastníctva číslo 882, vedenom Okresným úradom Bratislava, katastrálny odbor, katastrálne územie: Nivy, obec: Bratislava- Ružinov, okres Bratislava II</w:t>
      </w:r>
      <w:r w:rsidR="00D61578">
        <w:rPr>
          <w:rFonts w:eastAsia="Arial" w:cs="Arial"/>
          <w:bCs/>
          <w:szCs w:val="20"/>
        </w:rPr>
        <w:t>.</w:t>
      </w:r>
    </w:p>
    <w:p w14:paraId="5696E19D" w14:textId="77777777" w:rsidR="0015685B" w:rsidRPr="0015685B" w:rsidRDefault="0015685B" w:rsidP="0015685B">
      <w:pPr>
        <w:rPr>
          <w:rFonts w:eastAsia="Arial"/>
        </w:rPr>
      </w:pPr>
    </w:p>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3" w:name="_Hlk105098343"/>
      <w:r>
        <w:rPr>
          <w:rFonts w:eastAsia="Arial" w:cs="Arial"/>
          <w:b/>
          <w:szCs w:val="20"/>
        </w:rPr>
        <w:t xml:space="preserve">Doba </w:t>
      </w:r>
      <w:r w:rsidR="00AF61DC">
        <w:rPr>
          <w:rFonts w:eastAsia="Arial" w:cs="Arial"/>
          <w:b/>
          <w:szCs w:val="20"/>
        </w:rPr>
        <w:t>nájmu</w:t>
      </w:r>
    </w:p>
    <w:bookmarkEnd w:id="23"/>
    <w:p w14:paraId="512FDA02" w14:textId="2E5C5324" w:rsidR="00DE6AB6" w:rsidRPr="00DE6AB6" w:rsidRDefault="00D33544" w:rsidP="00DE6AB6">
      <w:pPr>
        <w:pStyle w:val="Nadpis3"/>
        <w:tabs>
          <w:tab w:val="clear" w:pos="540"/>
        </w:tabs>
        <w:ind w:left="709"/>
        <w:rPr>
          <w:rFonts w:eastAsia="Arial" w:cs="Arial"/>
          <w:bCs/>
          <w:szCs w:val="20"/>
        </w:rPr>
      </w:pPr>
      <w:r w:rsidRPr="00D33544">
        <w:rPr>
          <w:rFonts w:eastAsia="Arial" w:cs="Arial"/>
          <w:bCs/>
          <w:szCs w:val="20"/>
        </w:rPr>
        <w:t>Doba určitá, 5 rokov odo dňa  účinnosti nájomnej zmluvy</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4" w:name="h.gjdgxs" w:colFirst="0" w:colLast="0"/>
      <w:bookmarkEnd w:id="24"/>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5" w:name="_Hlk51678406"/>
      <w:bookmarkStart w:id="26"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7" w:name="_Toc485116300"/>
      <w:bookmarkEnd w:id="25"/>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40E36F59" w14:textId="1460CA66" w:rsidR="00AF61DC" w:rsidRDefault="00AF61DC"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w:t>
      </w:r>
      <w:r w:rsidRPr="007837BC">
        <w:rPr>
          <w:rFonts w:ascii="Arial" w:hAnsi="Arial" w:cs="Arial"/>
          <w:sz w:val="20"/>
          <w:szCs w:val="20"/>
        </w:rPr>
        <w:t>je</w:t>
      </w:r>
      <w:r w:rsidR="00E24708" w:rsidRPr="007837BC">
        <w:rPr>
          <w:rFonts w:ascii="Arial" w:hAnsi="Arial" w:cs="Arial"/>
          <w:sz w:val="20"/>
          <w:szCs w:val="20"/>
        </w:rPr>
        <w:t xml:space="preserve"> </w:t>
      </w:r>
      <w:r w:rsidR="008C7EC9" w:rsidRPr="007837BC">
        <w:rPr>
          <w:rFonts w:ascii="Arial" w:hAnsi="Arial" w:cs="Arial"/>
          <w:b/>
          <w:bCs/>
          <w:sz w:val="20"/>
          <w:szCs w:val="20"/>
          <w:u w:val="single"/>
        </w:rPr>
        <w:t>1</w:t>
      </w:r>
      <w:r w:rsidR="006D0B85">
        <w:rPr>
          <w:rFonts w:ascii="Arial" w:hAnsi="Arial" w:cs="Arial"/>
          <w:b/>
          <w:bCs/>
          <w:sz w:val="20"/>
          <w:szCs w:val="20"/>
          <w:u w:val="single"/>
        </w:rPr>
        <w:t>5</w:t>
      </w:r>
      <w:r w:rsidR="0015685B" w:rsidRPr="007837BC">
        <w:rPr>
          <w:rFonts w:ascii="Arial" w:hAnsi="Arial" w:cs="Arial"/>
          <w:b/>
          <w:bCs/>
          <w:sz w:val="20"/>
          <w:szCs w:val="20"/>
          <w:u w:val="single"/>
        </w:rPr>
        <w:t xml:space="preserve"> EUR bez DPH/ m²/ rok (slovom: </w:t>
      </w:r>
      <w:r w:rsidR="006D0B85">
        <w:rPr>
          <w:rFonts w:ascii="Arial" w:hAnsi="Arial" w:cs="Arial"/>
          <w:b/>
          <w:bCs/>
          <w:sz w:val="20"/>
          <w:szCs w:val="20"/>
          <w:u w:val="single"/>
        </w:rPr>
        <w:t>pätnásť</w:t>
      </w:r>
      <w:r w:rsidR="0015685B" w:rsidRPr="007837BC">
        <w:rPr>
          <w:rFonts w:ascii="Arial" w:hAnsi="Arial" w:cs="Arial"/>
          <w:b/>
          <w:bCs/>
          <w:sz w:val="20"/>
          <w:szCs w:val="20"/>
          <w:u w:val="single"/>
        </w:rPr>
        <w:t xml:space="preserve"> eur </w:t>
      </w:r>
      <w:r w:rsidR="007F21CD" w:rsidRPr="007837BC">
        <w:rPr>
          <w:rFonts w:ascii="Arial" w:hAnsi="Arial" w:cs="Arial"/>
          <w:b/>
          <w:bCs/>
          <w:sz w:val="20"/>
          <w:szCs w:val="20"/>
          <w:u w:val="single"/>
        </w:rPr>
        <w:t>bez</w:t>
      </w:r>
      <w:r w:rsidR="0015685B" w:rsidRPr="007837BC">
        <w:rPr>
          <w:rFonts w:ascii="Arial" w:hAnsi="Arial" w:cs="Arial"/>
          <w:b/>
          <w:bCs/>
          <w:sz w:val="20"/>
          <w:szCs w:val="20"/>
          <w:u w:val="single"/>
        </w:rPr>
        <w:t xml:space="preserve"> DPH/ m²/ rok).</w:t>
      </w:r>
    </w:p>
    <w:bookmarkEnd w:id="26"/>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3F7C5BF4" w14:textId="77777777" w:rsidR="0015685B" w:rsidRDefault="0015685B" w:rsidP="00AF61DC">
      <w:pPr>
        <w:ind w:left="708"/>
        <w:jc w:val="both"/>
        <w:rPr>
          <w:rFonts w:ascii="Arial" w:hAnsi="Arial" w:cs="Arial"/>
          <w:sz w:val="20"/>
          <w:szCs w:val="20"/>
        </w:rPr>
      </w:pPr>
    </w:p>
    <w:p w14:paraId="68CD73C4" w14:textId="2655AA8B" w:rsidR="00AF61DC" w:rsidRPr="00181EAD" w:rsidRDefault="00AF61DC" w:rsidP="00AF61DC">
      <w:pPr>
        <w:ind w:left="708"/>
        <w:jc w:val="both"/>
        <w:rPr>
          <w:rFonts w:ascii="Arial" w:hAnsi="Arial" w:cs="Arial"/>
          <w:sz w:val="20"/>
          <w:szCs w:val="20"/>
        </w:rPr>
      </w:pPr>
      <w:r>
        <w:rPr>
          <w:rFonts w:ascii="Arial" w:hAnsi="Arial" w:cs="Arial"/>
          <w:sz w:val="20"/>
          <w:szCs w:val="20"/>
        </w:rPr>
        <w:t>Výška nájomného v EUR bez DPH/</w:t>
      </w:r>
      <w:r w:rsidRPr="00181EAD">
        <w:rPr>
          <w:rFonts w:ascii="Arial" w:hAnsi="Arial" w:cs="Arial"/>
          <w:sz w:val="20"/>
          <w:szCs w:val="20"/>
        </w:rPr>
        <w:t>m²/</w:t>
      </w:r>
      <w:r w:rsidR="005024EA">
        <w:rPr>
          <w:rFonts w:ascii="Arial" w:hAnsi="Arial" w:cs="Arial"/>
          <w:sz w:val="20"/>
          <w:szCs w:val="20"/>
        </w:rPr>
        <w:t xml:space="preserve"> </w:t>
      </w:r>
      <w:r w:rsidR="00C01977">
        <w:rPr>
          <w:rFonts w:ascii="Arial" w:hAnsi="Arial" w:cs="Arial"/>
          <w:sz w:val="20"/>
          <w:szCs w:val="20"/>
        </w:rPr>
        <w:t>rok</w:t>
      </w:r>
      <w:r w:rsidRPr="00181EAD">
        <w:rPr>
          <w:rFonts w:ascii="Arial" w:hAnsi="Arial" w:cs="Arial"/>
          <w:sz w:val="20"/>
          <w:szCs w:val="20"/>
        </w:rPr>
        <w:t xml:space="preserve"> slúži zároveň ako</w:t>
      </w:r>
      <w:r>
        <w:rPr>
          <w:rFonts w:ascii="Arial" w:hAnsi="Arial" w:cs="Arial"/>
          <w:sz w:val="20"/>
          <w:szCs w:val="20"/>
        </w:rPr>
        <w:t xml:space="preserve"> jediné</w:t>
      </w:r>
      <w:r w:rsidRPr="00181EAD">
        <w:rPr>
          <w:rFonts w:ascii="Arial" w:hAnsi="Arial" w:cs="Arial"/>
          <w:sz w:val="20"/>
          <w:szCs w:val="20"/>
        </w:rPr>
        <w:t xml:space="preserve"> kritérium na vyhodnotenie </w:t>
      </w:r>
      <w:r>
        <w:rPr>
          <w:rFonts w:ascii="Arial" w:hAnsi="Arial" w:cs="Arial"/>
          <w:sz w:val="20"/>
          <w:szCs w:val="20"/>
        </w:rPr>
        <w:t xml:space="preserve">predložených </w:t>
      </w:r>
      <w:r w:rsidRPr="00181EAD">
        <w:rPr>
          <w:rFonts w:ascii="Arial" w:hAnsi="Arial" w:cs="Arial"/>
          <w:sz w:val="20"/>
          <w:szCs w:val="20"/>
        </w:rPr>
        <w:t>ponúk uchádzačov.</w:t>
      </w:r>
    </w:p>
    <w:p w14:paraId="07D9D512" w14:textId="52709B5A"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lastRenderedPageBreak/>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6D0B85">
        <w:rPr>
          <w:rFonts w:eastAsia="Arial Unicode MS" w:cs="Arial"/>
          <w:b/>
          <w:bCs/>
          <w:color w:val="000000"/>
          <w:szCs w:val="20"/>
        </w:rPr>
        <w:t>ročne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8" w:name="_Toc139092077"/>
      <w:bookmarkStart w:id="29" w:name="_Toc139092236"/>
      <w:bookmarkStart w:id="30" w:name="_Toc139092505"/>
      <w:bookmarkEnd w:id="27"/>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1"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2"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2"/>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3" w:name="_Hlk75783640"/>
      <w:r w:rsidRPr="00162C9C">
        <w:rPr>
          <w:rFonts w:ascii="Arial" w:hAnsi="Arial" w:cs="Arial"/>
          <w:sz w:val="20"/>
          <w:szCs w:val="20"/>
        </w:rPr>
        <w:t>OVS</w:t>
      </w:r>
      <w:bookmarkEnd w:id="33"/>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xml:space="preserve">, alebo prešiel zaručenou konverziou. </w:t>
      </w:r>
      <w:r w:rsidRPr="00D96737">
        <w:rPr>
          <w:rFonts w:ascii="Arial" w:hAnsi="Arial" w:cs="Arial"/>
          <w:sz w:val="20"/>
          <w:szCs w:val="20"/>
        </w:rPr>
        <w:lastRenderedPageBreak/>
        <w:t>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4" w:name="_Hlk36105449"/>
      <w:r w:rsidRPr="0051276A">
        <w:rPr>
          <w:b/>
        </w:rPr>
        <w:t xml:space="preserve">Obhliadka </w:t>
      </w:r>
      <w:r>
        <w:rPr>
          <w:b/>
        </w:rPr>
        <w:t>predmetu nájmu</w:t>
      </w:r>
    </w:p>
    <w:bookmarkEnd w:id="34"/>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1BA541A7" w14:textId="3F95A3CA" w:rsidR="00D33544" w:rsidRPr="007B4524" w:rsidRDefault="00D33544" w:rsidP="00D33544">
      <w:pPr>
        <w:ind w:firstLine="708"/>
        <w:rPr>
          <w:rFonts w:ascii="Arial" w:hAnsi="Arial" w:cs="Arial"/>
          <w:sz w:val="20"/>
          <w:szCs w:val="20"/>
        </w:rPr>
      </w:pPr>
      <w:r w:rsidRPr="007B4524">
        <w:rPr>
          <w:rFonts w:ascii="Arial" w:hAnsi="Arial" w:cs="Arial"/>
          <w:sz w:val="20"/>
          <w:szCs w:val="20"/>
        </w:rPr>
        <w:t xml:space="preserve">Meno: </w:t>
      </w:r>
      <w:r>
        <w:rPr>
          <w:rFonts w:ascii="Arial" w:hAnsi="Arial" w:cs="Arial"/>
          <w:sz w:val="20"/>
          <w:szCs w:val="20"/>
        </w:rPr>
        <w:t xml:space="preserve">Ing. </w:t>
      </w:r>
      <w:r w:rsidR="00861BFE">
        <w:rPr>
          <w:rFonts w:ascii="Arial" w:hAnsi="Arial" w:cs="Arial"/>
          <w:sz w:val="20"/>
          <w:szCs w:val="20"/>
        </w:rPr>
        <w:t>Emil</w:t>
      </w:r>
      <w:r w:rsidR="00861BFE">
        <w:rPr>
          <w:rFonts w:ascii="Arial" w:hAnsi="Arial" w:cs="Arial"/>
          <w:sz w:val="20"/>
          <w:szCs w:val="20"/>
        </w:rPr>
        <w:tab/>
        <w:t>Kosiba</w:t>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DD46F0C" w14:textId="5715F2A3" w:rsidR="00D33544" w:rsidRPr="007B4524" w:rsidRDefault="00D33544" w:rsidP="00D33544">
      <w:pPr>
        <w:ind w:firstLine="708"/>
        <w:rPr>
          <w:rFonts w:ascii="Arial" w:hAnsi="Arial" w:cs="Arial"/>
          <w:sz w:val="20"/>
          <w:szCs w:val="20"/>
        </w:rPr>
      </w:pPr>
      <w:r w:rsidRPr="007B4524">
        <w:rPr>
          <w:rFonts w:ascii="Arial" w:hAnsi="Arial" w:cs="Arial"/>
          <w:sz w:val="20"/>
          <w:szCs w:val="20"/>
        </w:rPr>
        <w:t xml:space="preserve">Email: </w:t>
      </w:r>
      <w:hyperlink r:id="rId11" w:history="1">
        <w:r w:rsidR="00861BFE">
          <w:rPr>
            <w:rStyle w:val="Hypertextovprepojenie"/>
            <w:rFonts w:ascii="Arial" w:hAnsi="Arial" w:cs="Arial"/>
            <w:sz w:val="20"/>
            <w:szCs w:val="20"/>
          </w:rPr>
          <w:t>emil.kosiba@vpas.sk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0D2DB8C1" w:rsidR="00AF61DC" w:rsidRDefault="00D33544" w:rsidP="00D33544">
      <w:pPr>
        <w:ind w:firstLine="708"/>
        <w:rPr>
          <w:rFonts w:ascii="Arial" w:hAnsi="Arial" w:cs="Arial"/>
          <w:sz w:val="20"/>
          <w:szCs w:val="20"/>
        </w:rPr>
      </w:pPr>
      <w:r w:rsidRPr="007B4524">
        <w:rPr>
          <w:rFonts w:ascii="Arial" w:hAnsi="Arial" w:cs="Arial"/>
          <w:sz w:val="20"/>
          <w:szCs w:val="20"/>
        </w:rPr>
        <w:t>Tel: + 421 9</w:t>
      </w:r>
      <w:r>
        <w:rPr>
          <w:rFonts w:ascii="Arial" w:hAnsi="Arial" w:cs="Arial"/>
          <w:sz w:val="20"/>
          <w:szCs w:val="20"/>
        </w:rPr>
        <w:t>03</w:t>
      </w:r>
      <w:r w:rsidR="00861BFE">
        <w:rPr>
          <w:rFonts w:ascii="Arial" w:hAnsi="Arial" w:cs="Arial"/>
          <w:sz w:val="20"/>
          <w:szCs w:val="20"/>
        </w:rPr>
        <w:t> 581 564</w:t>
      </w:r>
      <w:r w:rsidR="00AF61DC" w:rsidRPr="007B4524">
        <w:rPr>
          <w:rFonts w:ascii="Arial" w:hAnsi="Arial" w:cs="Arial"/>
          <w:sz w:val="20"/>
          <w:szCs w:val="20"/>
        </w:rPr>
        <w:tab/>
      </w:r>
      <w:r w:rsidR="00AF61DC" w:rsidRPr="007B4524">
        <w:rPr>
          <w:rFonts w:ascii="Arial" w:hAnsi="Arial" w:cs="Arial"/>
          <w:sz w:val="20"/>
          <w:szCs w:val="20"/>
        </w:rPr>
        <w:tab/>
      </w:r>
      <w:r w:rsidR="00AF61DC"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1"/>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5" w:name="_Toc139092080"/>
      <w:bookmarkStart w:id="36" w:name="_Toc139092239"/>
      <w:bookmarkStart w:id="37" w:name="_Toc139092508"/>
      <w:bookmarkEnd w:id="28"/>
      <w:bookmarkEnd w:id="29"/>
      <w:bookmarkEnd w:id="30"/>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8"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8"/>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39" w:name="_Toc449474829"/>
      <w:bookmarkStart w:id="40" w:name="_Toc465202121"/>
      <w:bookmarkStart w:id="41" w:name="_Toc482895746"/>
      <w:r w:rsidRPr="00617EA2">
        <w:rPr>
          <w:b/>
        </w:rPr>
        <w:t>Náklady na vypracovanie ponuky</w:t>
      </w:r>
      <w:bookmarkEnd w:id="39"/>
      <w:bookmarkEnd w:id="40"/>
      <w:bookmarkEnd w:id="41"/>
    </w:p>
    <w:p w14:paraId="4D0DDEB6" w14:textId="32ACD1E4" w:rsidR="00B82A3B" w:rsidRPr="00E5232E" w:rsidRDefault="00B82A3B" w:rsidP="00F957C7">
      <w:pPr>
        <w:pStyle w:val="Nadpis3"/>
        <w:tabs>
          <w:tab w:val="clear" w:pos="540"/>
        </w:tabs>
        <w:ind w:left="709"/>
        <w:rPr>
          <w:b/>
          <w:smallCaps/>
        </w:rPr>
      </w:pPr>
      <w:bookmarkStart w:id="42"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2"/>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3" w:name="_Toc465202126"/>
      <w:bookmarkStart w:id="44" w:name="_Toc482895753"/>
      <w:r w:rsidRPr="00A30B6F">
        <w:rPr>
          <w:b/>
        </w:rPr>
        <w:t>Obsah ponuky</w:t>
      </w:r>
      <w:bookmarkEnd w:id="43"/>
      <w:bookmarkEnd w:id="44"/>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5"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5"/>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lastRenderedPageBreak/>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05547961"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6D0B85">
        <w:rPr>
          <w:rFonts w:ascii="Arial" w:hAnsi="Arial" w:cs="Arial"/>
          <w:b/>
          <w:bCs/>
          <w:sz w:val="20"/>
          <w:szCs w:val="20"/>
          <w:u w:val="single"/>
        </w:rPr>
        <w:t>25</w:t>
      </w:r>
      <w:r w:rsidR="00FD256B" w:rsidRPr="00FD256B">
        <w:rPr>
          <w:rFonts w:ascii="Arial" w:hAnsi="Arial" w:cs="Arial"/>
          <w:b/>
          <w:bCs/>
          <w:sz w:val="20"/>
          <w:szCs w:val="20"/>
          <w:u w:val="single"/>
        </w:rPr>
        <w:t>0</w:t>
      </w:r>
      <w:r w:rsidR="0036474B" w:rsidRPr="00FD256B">
        <w:rPr>
          <w:rFonts w:ascii="Arial" w:hAnsi="Arial" w:cs="Arial"/>
          <w:b/>
          <w:bCs/>
          <w:sz w:val="20"/>
          <w:szCs w:val="20"/>
          <w:u w:val="single"/>
        </w:rPr>
        <w:t>,</w:t>
      </w:r>
      <w:r w:rsidRPr="00FD256B">
        <w:rPr>
          <w:rFonts w:ascii="Arial" w:hAnsi="Arial" w:cs="Arial"/>
          <w:b/>
          <w:bCs/>
          <w:sz w:val="20"/>
          <w:szCs w:val="20"/>
          <w:u w:val="single"/>
        </w:rPr>
        <w:t>-</w:t>
      </w:r>
      <w:r w:rsidRPr="00FD256B">
        <w:rPr>
          <w:rFonts w:ascii="Arial" w:hAnsi="Arial" w:cs="Arial"/>
          <w:b/>
          <w:bCs/>
          <w:color w:val="FF0000"/>
          <w:sz w:val="20"/>
          <w:szCs w:val="20"/>
          <w:u w:val="single"/>
        </w:rPr>
        <w:t xml:space="preserve"> </w:t>
      </w:r>
      <w:r w:rsidRPr="00FD256B">
        <w:rPr>
          <w:rFonts w:ascii="Arial" w:hAnsi="Arial" w:cs="Arial"/>
          <w:b/>
          <w:bCs/>
          <w:sz w:val="20"/>
          <w:szCs w:val="20"/>
          <w:u w:val="single"/>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lastRenderedPageBreak/>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bookmarkStart w:id="46" w:name="_Hlk148453478"/>
      <w:r w:rsidRPr="00C74D1C">
        <w:rPr>
          <w:b/>
        </w:rPr>
        <w:t xml:space="preserve">Lehota </w:t>
      </w:r>
      <w:r>
        <w:rPr>
          <w:b/>
        </w:rPr>
        <w:t xml:space="preserve">na predkladanie ponúk </w:t>
      </w:r>
    </w:p>
    <w:p w14:paraId="117EA34F" w14:textId="12788871"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F110D0">
        <w:rPr>
          <w:rFonts w:ascii="Arial" w:hAnsi="Arial" w:cs="Arial"/>
          <w:b/>
          <w:bCs/>
          <w:sz w:val="20"/>
          <w:szCs w:val="20"/>
        </w:rPr>
        <w:t>12</w:t>
      </w:r>
      <w:r w:rsidR="00862BE0">
        <w:rPr>
          <w:rFonts w:ascii="Arial" w:hAnsi="Arial" w:cs="Arial"/>
          <w:b/>
          <w:bCs/>
          <w:sz w:val="20"/>
          <w:szCs w:val="20"/>
        </w:rPr>
        <w:t>.</w:t>
      </w:r>
      <w:r w:rsidR="00F110D0">
        <w:rPr>
          <w:rFonts w:ascii="Arial" w:hAnsi="Arial" w:cs="Arial"/>
          <w:b/>
          <w:bCs/>
          <w:sz w:val="20"/>
          <w:szCs w:val="20"/>
        </w:rPr>
        <w:t>03</w:t>
      </w:r>
      <w:r w:rsidR="00862BE0">
        <w:rPr>
          <w:rFonts w:ascii="Arial" w:hAnsi="Arial" w:cs="Arial"/>
          <w:b/>
          <w:bCs/>
          <w:sz w:val="20"/>
          <w:szCs w:val="20"/>
        </w:rPr>
        <w:t>.202</w:t>
      </w:r>
      <w:r w:rsidR="00861BFE">
        <w:rPr>
          <w:rFonts w:ascii="Arial" w:hAnsi="Arial" w:cs="Arial"/>
          <w:b/>
          <w:bCs/>
          <w:sz w:val="20"/>
          <w:szCs w:val="20"/>
        </w:rPr>
        <w:t>4</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bookmarkEnd w:id="46"/>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7" w:name="_Toc465202166"/>
      <w:bookmarkStart w:id="48"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9" w:name="_Toc285805757"/>
      <w:bookmarkStart w:id="50" w:name="_Toc452380435"/>
      <w:bookmarkStart w:id="51" w:name="_Toc485116359"/>
      <w:r>
        <w:rPr>
          <w:b/>
        </w:rPr>
        <w:t>Kritériá na h</w:t>
      </w:r>
      <w:r w:rsidRPr="00C74D1C">
        <w:rPr>
          <w:b/>
        </w:rPr>
        <w:t>odnotenie ponúk</w:t>
      </w:r>
      <w:bookmarkEnd w:id="49"/>
      <w:bookmarkEnd w:id="50"/>
      <w:bookmarkEnd w:id="51"/>
    </w:p>
    <w:p w14:paraId="44BAF98D" w14:textId="41907773" w:rsidR="009B1FA5" w:rsidRPr="009B1FA5" w:rsidRDefault="009B1FA5" w:rsidP="009B1FA5">
      <w:pPr>
        <w:pStyle w:val="Odsekzoznamu"/>
        <w:widowControl w:val="0"/>
        <w:ind w:left="709"/>
        <w:jc w:val="both"/>
        <w:rPr>
          <w:rFonts w:ascii="Arial" w:hAnsi="Arial" w:cs="Arial"/>
          <w:sz w:val="20"/>
          <w:szCs w:val="20"/>
        </w:rPr>
      </w:pPr>
      <w:bookmarkStart w:id="52" w:name="kriteria_pravidlo1"/>
      <w:bookmarkEnd w:id="52"/>
      <w:r w:rsidRPr="009B1FA5">
        <w:rPr>
          <w:rFonts w:ascii="Arial" w:hAnsi="Arial" w:cs="Arial"/>
          <w:sz w:val="20"/>
          <w:szCs w:val="20"/>
        </w:rPr>
        <w:t xml:space="preserve">Jediným kritériom na vyhodnotenie cenových ponúk je </w:t>
      </w:r>
      <w:bookmarkStart w:id="53" w:name="_Hlk75784282"/>
      <w:r w:rsidRPr="009B1FA5">
        <w:rPr>
          <w:rFonts w:ascii="Arial" w:hAnsi="Arial" w:cs="Arial"/>
          <w:b/>
          <w:sz w:val="20"/>
          <w:szCs w:val="20"/>
        </w:rPr>
        <w:t xml:space="preserve">najvyššia cena za predmet nájmu v </w:t>
      </w:r>
      <w:r w:rsidR="001C1C05">
        <w:rPr>
          <w:rFonts w:ascii="Arial" w:hAnsi="Arial" w:cs="Arial"/>
          <w:b/>
          <w:sz w:val="20"/>
          <w:szCs w:val="20"/>
        </w:rPr>
        <w:t>e</w:t>
      </w:r>
      <w:r w:rsidRPr="009B1FA5">
        <w:rPr>
          <w:rFonts w:ascii="Arial" w:hAnsi="Arial" w:cs="Arial"/>
          <w:b/>
          <w:sz w:val="20"/>
          <w:szCs w:val="20"/>
        </w:rPr>
        <w:t>ur bez DPH/m</w:t>
      </w:r>
      <w:r w:rsidRPr="009B1FA5">
        <w:rPr>
          <w:rFonts w:ascii="Arial" w:hAnsi="Arial" w:cs="Arial"/>
          <w:b/>
          <w:sz w:val="20"/>
          <w:szCs w:val="20"/>
          <w:vertAlign w:val="superscript"/>
        </w:rPr>
        <w:t>2</w:t>
      </w:r>
      <w:r w:rsidRPr="009B1FA5">
        <w:rPr>
          <w:rFonts w:ascii="Arial" w:hAnsi="Arial" w:cs="Arial"/>
          <w:b/>
          <w:sz w:val="20"/>
          <w:szCs w:val="20"/>
        </w:rPr>
        <w:t>/</w:t>
      </w:r>
      <w:r w:rsidR="00C01977">
        <w:rPr>
          <w:rFonts w:ascii="Arial" w:hAnsi="Arial" w:cs="Arial"/>
          <w:b/>
          <w:sz w:val="20"/>
          <w:szCs w:val="20"/>
        </w:rPr>
        <w:t>rok</w:t>
      </w:r>
      <w:r w:rsidRPr="009B1FA5">
        <w:rPr>
          <w:rFonts w:ascii="Arial" w:hAnsi="Arial" w:cs="Arial"/>
          <w:sz w:val="20"/>
          <w:szCs w:val="20"/>
        </w:rPr>
        <w:t xml:space="preserve"> </w:t>
      </w:r>
      <w:bookmarkEnd w:id="53"/>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7"/>
      <w:bookmarkEnd w:id="48"/>
      <w:r w:rsidR="00E92205">
        <w:rPr>
          <w:b/>
        </w:rPr>
        <w:t xml:space="preserve">v </w:t>
      </w:r>
      <w:r w:rsidR="00C20402">
        <w:rPr>
          <w:b/>
        </w:rPr>
        <w:t>OV</w:t>
      </w:r>
      <w:r w:rsidR="008B2FA3">
        <w:rPr>
          <w:b/>
        </w:rPr>
        <w:t>S</w:t>
      </w:r>
    </w:p>
    <w:p w14:paraId="3422FEBC" w14:textId="77777777" w:rsidR="008236FF" w:rsidRPr="0072647D" w:rsidRDefault="008236FF" w:rsidP="008236F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D935221"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57C2A20A"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60CF429B" w14:textId="77777777" w:rsidR="008236FF" w:rsidRDefault="008236FF" w:rsidP="008236F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599BE317"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lastRenderedPageBreak/>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212E15" w:rsidRPr="00EE0CAA">
        <w:rPr>
          <w:rFonts w:ascii="Arial" w:hAnsi="Arial" w:cs="Arial"/>
          <w:b/>
          <w:sz w:val="20"/>
          <w:szCs w:val="20"/>
        </w:rPr>
        <w:t>najvyšši</w:t>
      </w:r>
      <w:r w:rsidR="00212E15">
        <w:rPr>
          <w:rFonts w:ascii="Arial" w:hAnsi="Arial" w:cs="Arial"/>
          <w:b/>
          <w:sz w:val="20"/>
          <w:szCs w:val="20"/>
        </w:rPr>
        <w:t>e</w:t>
      </w:r>
      <w:r w:rsidR="00212E15" w:rsidRPr="00EE0CAA">
        <w:rPr>
          <w:rFonts w:ascii="Arial" w:hAnsi="Arial" w:cs="Arial"/>
          <w:b/>
          <w:sz w:val="20"/>
          <w:szCs w:val="20"/>
        </w:rPr>
        <w:t xml:space="preserve"> </w:t>
      </w:r>
      <w:r w:rsidR="00212E15">
        <w:rPr>
          <w:rFonts w:ascii="Arial" w:hAnsi="Arial" w:cs="Arial"/>
          <w:b/>
          <w:sz w:val="20"/>
          <w:szCs w:val="20"/>
        </w:rPr>
        <w:t>nájomné</w:t>
      </w:r>
      <w:r w:rsidR="00212E15" w:rsidRPr="00EE0CAA">
        <w:rPr>
          <w:rFonts w:ascii="Arial" w:hAnsi="Arial" w:cs="Arial"/>
          <w:b/>
          <w:sz w:val="20"/>
          <w:szCs w:val="20"/>
        </w:rPr>
        <w:t xml:space="preserve"> za predmet nájmu v </w:t>
      </w:r>
      <w:r w:rsidR="001C1C05">
        <w:rPr>
          <w:rFonts w:ascii="Arial" w:hAnsi="Arial" w:cs="Arial"/>
          <w:b/>
          <w:sz w:val="20"/>
          <w:szCs w:val="20"/>
        </w:rPr>
        <w:t>eur</w:t>
      </w:r>
      <w:r w:rsidR="00212E15" w:rsidRPr="00EE0CAA">
        <w:rPr>
          <w:rFonts w:ascii="Arial" w:hAnsi="Arial" w:cs="Arial"/>
          <w:b/>
          <w:sz w:val="20"/>
          <w:szCs w:val="20"/>
        </w:rPr>
        <w:t xml:space="preserve"> bez DPH/m</w:t>
      </w:r>
      <w:r w:rsidR="00212E15" w:rsidRPr="00EE0CAA">
        <w:rPr>
          <w:rFonts w:ascii="Arial" w:hAnsi="Arial" w:cs="Arial"/>
          <w:b/>
          <w:sz w:val="20"/>
          <w:szCs w:val="20"/>
          <w:vertAlign w:val="superscript"/>
        </w:rPr>
        <w:t>2</w:t>
      </w:r>
      <w:r w:rsidR="00212E15" w:rsidRPr="00EE0CAA">
        <w:rPr>
          <w:rFonts w:ascii="Arial" w:hAnsi="Arial" w:cs="Arial"/>
          <w:b/>
          <w:sz w:val="20"/>
          <w:szCs w:val="20"/>
        </w:rPr>
        <w:t>/</w:t>
      </w:r>
      <w:r w:rsidR="00C01977">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4" w:name="_Toc139092104"/>
      <w:bookmarkStart w:id="55" w:name="_Toc139092263"/>
      <w:bookmarkStart w:id="56" w:name="_Toc139092532"/>
      <w:bookmarkStart w:id="57" w:name="_Toc285805760"/>
      <w:bookmarkStart w:id="58" w:name="_Toc452380439"/>
      <w:bookmarkStart w:id="59"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4"/>
      <w:bookmarkEnd w:id="55"/>
      <w:bookmarkEnd w:id="56"/>
      <w:bookmarkEnd w:id="57"/>
      <w:bookmarkEnd w:id="58"/>
      <w:bookmarkEnd w:id="59"/>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0" w:name="_Toc139092094"/>
      <w:bookmarkStart w:id="61" w:name="_Toc139092253"/>
      <w:bookmarkStart w:id="62" w:name="_Toc139092522"/>
      <w:bookmarkStart w:id="63" w:name="_Toc139092091"/>
      <w:bookmarkStart w:id="64" w:name="_Toc139092250"/>
      <w:bookmarkStart w:id="65" w:name="_Toc139092519"/>
      <w:bookmarkStart w:id="66" w:name="_Toc285805755"/>
      <w:bookmarkStart w:id="67" w:name="_Toc452380431"/>
      <w:bookmarkEnd w:id="35"/>
      <w:bookmarkEnd w:id="36"/>
      <w:bookmarkEnd w:id="37"/>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0"/>
    <w:bookmarkEnd w:id="1"/>
    <w:bookmarkEnd w:id="2"/>
    <w:bookmarkEnd w:id="3"/>
    <w:bookmarkEnd w:id="60"/>
    <w:bookmarkEnd w:id="61"/>
    <w:bookmarkEnd w:id="62"/>
    <w:bookmarkEnd w:id="63"/>
    <w:bookmarkEnd w:id="64"/>
    <w:bookmarkEnd w:id="65"/>
    <w:bookmarkEnd w:id="66"/>
    <w:bookmarkEnd w:id="67"/>
    <w:p w14:paraId="218F553B" w14:textId="61C7868C" w:rsidR="00383275" w:rsidRDefault="00383275" w:rsidP="00383275"/>
    <w:sectPr w:rsidR="00383275" w:rsidSect="0093235D">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D9F1A5" w14:textId="77777777" w:rsidR="0093235D" w:rsidRDefault="0093235D">
      <w:r>
        <w:separator/>
      </w:r>
    </w:p>
  </w:endnote>
  <w:endnote w:type="continuationSeparator" w:id="0">
    <w:p w14:paraId="53D41FAA" w14:textId="77777777" w:rsidR="0093235D" w:rsidRDefault="00932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2E37D" w14:textId="77777777" w:rsidR="0093235D" w:rsidRDefault="0093235D">
      <w:r>
        <w:separator/>
      </w:r>
    </w:p>
  </w:footnote>
  <w:footnote w:type="continuationSeparator" w:id="0">
    <w:p w14:paraId="5290B67E" w14:textId="77777777" w:rsidR="0093235D" w:rsidRDefault="00932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8"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8"/>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2F7B"/>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D2A15"/>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85B"/>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3241"/>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4B8F"/>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9BE"/>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A3EBB"/>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B85"/>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616"/>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82F1F"/>
    <w:rsid w:val="00783413"/>
    <w:rsid w:val="007837BC"/>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97E26"/>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21CD"/>
    <w:rsid w:val="007F409D"/>
    <w:rsid w:val="007F4CC1"/>
    <w:rsid w:val="007F5D7F"/>
    <w:rsid w:val="007F5DC7"/>
    <w:rsid w:val="007F5F0F"/>
    <w:rsid w:val="007F737D"/>
    <w:rsid w:val="007F7A6B"/>
    <w:rsid w:val="008015CC"/>
    <w:rsid w:val="00810192"/>
    <w:rsid w:val="00812EE7"/>
    <w:rsid w:val="00812FE8"/>
    <w:rsid w:val="00813F1F"/>
    <w:rsid w:val="0081468E"/>
    <w:rsid w:val="00815B0C"/>
    <w:rsid w:val="00817A35"/>
    <w:rsid w:val="0082112E"/>
    <w:rsid w:val="00821B27"/>
    <w:rsid w:val="008221AA"/>
    <w:rsid w:val="00822884"/>
    <w:rsid w:val="008236FF"/>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1BFE"/>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0A2C"/>
    <w:rsid w:val="008C1449"/>
    <w:rsid w:val="008C2866"/>
    <w:rsid w:val="008C495F"/>
    <w:rsid w:val="008C5052"/>
    <w:rsid w:val="008C51E9"/>
    <w:rsid w:val="008C7026"/>
    <w:rsid w:val="008C70E7"/>
    <w:rsid w:val="008C78F5"/>
    <w:rsid w:val="008C7EC9"/>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490"/>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23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C6D"/>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1FD4"/>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544"/>
    <w:rsid w:val="00D33DC7"/>
    <w:rsid w:val="00D345DF"/>
    <w:rsid w:val="00D34AD7"/>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578"/>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A7DA3"/>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175"/>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5D5"/>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0D0"/>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256B"/>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dor.augustin@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3136</Words>
  <Characters>19896</Characters>
  <Application>Microsoft Office Word</Application>
  <DocSecurity>0</DocSecurity>
  <Lines>165</Lines>
  <Paragraphs>45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22987</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2024-02-26T11:02:00Z</dcterms:created>
  <dcterms:modified xsi:type="dcterms:W3CDTF">2024-02-27T09:45:00Z</dcterms:modified>
</cp:coreProperties>
</file>