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570773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5A671F7E" w14:textId="77777777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70A356FD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Pr="00570773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6467CA" w:rsidRPr="00570773" w:rsidRDefault="006467CA">
      <w:pPr>
        <w:rPr>
          <w:sz w:val="20"/>
          <w:szCs w:val="20"/>
        </w:rPr>
        <w:sectPr w:rsidR="006467C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4B02CDB8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 xml:space="preserve">“IKT </w:t>
      </w:r>
      <w:proofErr w:type="spellStart"/>
      <w:r w:rsidR="00BD68AD" w:rsidRPr="00570773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- 01/24-25”,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 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5A671F9E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priebežne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, a </w:t>
      </w:r>
      <w:proofErr w:type="gramStart"/>
      <w:r w:rsidRPr="00570773">
        <w:rPr>
          <w:sz w:val="20"/>
          <w:szCs w:val="20"/>
        </w:rPr>
        <w:t xml:space="preserve">to  </w:t>
      </w:r>
      <w:proofErr w:type="spellStart"/>
      <w:r w:rsidRPr="00570773">
        <w:rPr>
          <w:sz w:val="20"/>
          <w:szCs w:val="20"/>
        </w:rPr>
        <w:t>čo</w:t>
      </w:r>
      <w:proofErr w:type="spellEnd"/>
      <w:proofErr w:type="gramEnd"/>
      <w:r w:rsidRPr="00570773">
        <w:rPr>
          <w:sz w:val="20"/>
          <w:szCs w:val="20"/>
        </w:rPr>
        <w:t xml:space="preserve">  do  </w:t>
      </w: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jednotlivých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objednávkach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zároveň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umožní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vlastnícke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tomuto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5.1</w:t>
      </w:r>
      <w:proofErr w:type="gramEnd"/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9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</w:p>
    <w:p w14:paraId="5A671FAA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 xml:space="preserve">Z. z., </w:t>
      </w:r>
      <w:proofErr w:type="spellStart"/>
      <w:r w:rsidRPr="00570773">
        <w:rPr>
          <w:sz w:val="20"/>
          <w:szCs w:val="20"/>
        </w:rPr>
        <w:t>ktorou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vykonáva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cenovou</w:t>
      </w:r>
      <w:proofErr w:type="spellEnd"/>
    </w:p>
    <w:p w14:paraId="5A671FA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ponukou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7777777" w:rsidR="006467CA" w:rsidRPr="00570773" w:rsidRDefault="00BA798B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bez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3" w14:textId="77777777" w:rsidR="006467CA" w:rsidRPr="00570773" w:rsidRDefault="00BA798B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4" w14:textId="77777777" w:rsidR="006467CA" w:rsidRPr="00570773" w:rsidRDefault="00BA798B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570773">
        <w:rPr>
          <w:sz w:val="20"/>
          <w:szCs w:val="20"/>
        </w:rPr>
        <w:t xml:space="preserve">Cena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DPH: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Eur</w:t>
      </w:r>
      <w:proofErr w:type="spellEnd"/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 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  </w:t>
      </w:r>
      <w:proofErr w:type="spell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A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Lehota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FF" w14:textId="4A7D3346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1C48E8" w:rsidRPr="00570773">
        <w:rPr>
          <w:sz w:val="20"/>
          <w:szCs w:val="20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Záručná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doba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ku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položke</w:t>
      </w:r>
      <w:proofErr w:type="spellEnd"/>
      <w:r w:rsidR="001C48E8" w:rsidRPr="00FE1E11">
        <w:rPr>
          <w:sz w:val="20"/>
          <w:szCs w:val="20"/>
          <w:highlight w:val="yellow"/>
        </w:rPr>
        <w:t xml:space="preserve"> “</w:t>
      </w:r>
      <w:r w:rsidR="001C48E8" w:rsidRPr="00FE1E11">
        <w:rPr>
          <w:color w:val="000000" w:themeColor="text1"/>
          <w:sz w:val="20"/>
          <w:szCs w:val="20"/>
          <w:highlight w:val="yellow"/>
        </w:rPr>
        <w:t xml:space="preserve">HDD 1171” je 5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rokov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(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časti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1). </w:t>
      </w:r>
      <w:proofErr w:type="spellStart"/>
      <w:r w:rsidR="001C48E8" w:rsidRPr="00FE1E11">
        <w:rPr>
          <w:sz w:val="20"/>
          <w:szCs w:val="20"/>
          <w:highlight w:val="yellow"/>
        </w:rPr>
        <w:t>Záručná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doba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ku</w:t>
      </w:r>
      <w:proofErr w:type="spellEnd"/>
      <w:r w:rsidR="001C48E8" w:rsidRPr="00FE1E11">
        <w:rPr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sz w:val="20"/>
          <w:szCs w:val="20"/>
          <w:highlight w:val="yellow"/>
        </w:rPr>
        <w:t>položke</w:t>
      </w:r>
      <w:proofErr w:type="spellEnd"/>
      <w:r w:rsidR="001C48E8" w:rsidRPr="00FE1E11">
        <w:rPr>
          <w:sz w:val="20"/>
          <w:szCs w:val="20"/>
          <w:highlight w:val="yellow"/>
        </w:rPr>
        <w:t xml:space="preserve"> “</w:t>
      </w:r>
      <w:r w:rsidR="001C48E8" w:rsidRPr="00FE1E11">
        <w:rPr>
          <w:color w:val="000000" w:themeColor="text1"/>
          <w:sz w:val="20"/>
          <w:szCs w:val="20"/>
          <w:highlight w:val="yellow"/>
        </w:rPr>
        <w:t>H</w:t>
      </w:r>
      <w:r w:rsidR="00120B9B" w:rsidRPr="00FE1E11">
        <w:rPr>
          <w:color w:val="000000" w:themeColor="text1"/>
          <w:sz w:val="20"/>
          <w:szCs w:val="20"/>
          <w:highlight w:val="yellow"/>
        </w:rPr>
        <w:t>PC</w:t>
      </w:r>
      <w:r w:rsidR="001C48E8" w:rsidRPr="00FE1E11">
        <w:rPr>
          <w:color w:val="000000" w:themeColor="text1"/>
          <w:sz w:val="20"/>
          <w:szCs w:val="20"/>
          <w:highlight w:val="yellow"/>
        </w:rPr>
        <w:t xml:space="preserve"> 117</w:t>
      </w:r>
      <w:r w:rsidR="00120B9B" w:rsidRPr="00FE1E11">
        <w:rPr>
          <w:color w:val="000000" w:themeColor="text1"/>
          <w:sz w:val="20"/>
          <w:szCs w:val="20"/>
          <w:highlight w:val="yellow"/>
        </w:rPr>
        <w:t>0</w:t>
      </w:r>
      <w:r w:rsidR="001C48E8" w:rsidRPr="00FE1E11">
        <w:rPr>
          <w:color w:val="000000" w:themeColor="text1"/>
          <w:sz w:val="20"/>
          <w:szCs w:val="20"/>
          <w:highlight w:val="yellow"/>
        </w:rPr>
        <w:t xml:space="preserve">” </w:t>
      </w:r>
      <w:proofErr w:type="spellStart"/>
      <w:r w:rsidR="00120B9B" w:rsidRPr="00FE1E11">
        <w:rPr>
          <w:color w:val="000000" w:themeColor="text1"/>
          <w:sz w:val="20"/>
          <w:szCs w:val="20"/>
          <w:highlight w:val="yellow"/>
        </w:rPr>
        <w:t>sú</w:t>
      </w:r>
      <w:proofErr w:type="spellEnd"/>
      <w:r w:rsidR="00120B9B" w:rsidRPr="00FE1E11">
        <w:rPr>
          <w:color w:val="000000" w:themeColor="text1"/>
          <w:sz w:val="20"/>
          <w:szCs w:val="20"/>
          <w:highlight w:val="yellow"/>
        </w:rPr>
        <w:t xml:space="preserve"> tri</w:t>
      </w:r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rok</w:t>
      </w:r>
      <w:r w:rsidR="00120B9B" w:rsidRPr="00FE1E11">
        <w:rPr>
          <w:color w:val="000000" w:themeColor="text1"/>
          <w:sz w:val="20"/>
          <w:szCs w:val="20"/>
          <w:highlight w:val="yellow"/>
        </w:rPr>
        <w:t>y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r w:rsidR="00120B9B" w:rsidRPr="00FE1E11">
        <w:rPr>
          <w:rFonts w:cs="Segoe UI"/>
          <w:color w:val="000000" w:themeColor="text1"/>
          <w:sz w:val="20"/>
          <w:szCs w:val="20"/>
          <w:highlight w:val="yellow"/>
          <w:shd w:val="clear" w:color="auto" w:fill="FFFFFF"/>
        </w:rPr>
        <w:t>NBD on-site</w:t>
      </w:r>
      <w:r w:rsidR="00120B9B" w:rsidRPr="00FE1E11">
        <w:rPr>
          <w:color w:val="000000" w:themeColor="text1"/>
          <w:sz w:val="20"/>
          <w:szCs w:val="20"/>
          <w:highlight w:val="yellow"/>
        </w:rPr>
        <w:t xml:space="preserve"> </w:t>
      </w:r>
      <w:r w:rsidR="001C48E8" w:rsidRPr="00FE1E11">
        <w:rPr>
          <w:color w:val="000000" w:themeColor="text1"/>
          <w:sz w:val="20"/>
          <w:szCs w:val="20"/>
          <w:highlight w:val="yellow"/>
        </w:rPr>
        <w:t>(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doplní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sa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pri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proofErr w:type="spellStart"/>
      <w:r w:rsidR="001C48E8" w:rsidRPr="00FE1E11">
        <w:rPr>
          <w:color w:val="000000" w:themeColor="text1"/>
          <w:sz w:val="20"/>
          <w:szCs w:val="20"/>
          <w:highlight w:val="yellow"/>
        </w:rPr>
        <w:t>časti</w:t>
      </w:r>
      <w:proofErr w:type="spellEnd"/>
      <w:r w:rsidR="001C48E8" w:rsidRPr="00FE1E11">
        <w:rPr>
          <w:color w:val="000000" w:themeColor="text1"/>
          <w:sz w:val="20"/>
          <w:szCs w:val="20"/>
          <w:highlight w:val="yellow"/>
        </w:rPr>
        <w:t xml:space="preserve"> </w:t>
      </w:r>
      <w:r w:rsidR="00120B9B" w:rsidRPr="00FE1E11">
        <w:rPr>
          <w:color w:val="000000" w:themeColor="text1"/>
          <w:sz w:val="20"/>
          <w:szCs w:val="20"/>
          <w:highlight w:val="yellow"/>
        </w:rPr>
        <w:t>5</w:t>
      </w:r>
      <w:r w:rsidR="001C48E8" w:rsidRPr="00FE1E11">
        <w:rPr>
          <w:color w:val="000000" w:themeColor="text1"/>
          <w:sz w:val="20"/>
          <w:szCs w:val="20"/>
          <w:highlight w:val="yellow"/>
        </w:rPr>
        <w:t>).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na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5 </w:t>
      </w:r>
      <w:proofErr w:type="spellStart"/>
      <w:r w:rsidRPr="00570773">
        <w:rPr>
          <w:sz w:val="20"/>
          <w:szCs w:val="20"/>
        </w:rPr>
        <w:t>písm</w:t>
      </w:r>
      <w:proofErr w:type="spell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proofErr w:type="gramStart"/>
      <w:r w:rsidRPr="00570773">
        <w:rPr>
          <w:b/>
          <w:sz w:val="20"/>
          <w:szCs w:val="20"/>
        </w:rPr>
        <w:t>zmluvy</w:t>
      </w:r>
      <w:proofErr w:type="spellEnd"/>
      <w:proofErr w:type="gram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636025E2" w14:textId="77777777" w:rsidR="00C94BB0" w:rsidRPr="00570773" w:rsidRDefault="00C94BB0" w:rsidP="00C94BB0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kvestorka</w:t>
      </w:r>
      <w:proofErr w:type="spellEnd"/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CF9C1" w14:textId="77777777" w:rsidR="00C0251D" w:rsidRDefault="00C0251D">
      <w:r>
        <w:separator/>
      </w:r>
    </w:p>
  </w:endnote>
  <w:endnote w:type="continuationSeparator" w:id="0">
    <w:p w14:paraId="7C284086" w14:textId="77777777" w:rsidR="00C0251D" w:rsidRDefault="00C0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proofErr w:type="spellStart"/>
                <w:r>
                  <w:rPr>
                    <w:rFonts w:ascii="Times New Roman"/>
                  </w:rPr>
                  <w:t>Strana</w:t>
                </w:r>
                <w:proofErr w:type="spellEnd"/>
                <w:r>
                  <w:rPr>
                    <w:rFonts w:ascii="Times New Roman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6B57" w14:textId="77777777" w:rsidR="00C0251D" w:rsidRDefault="00C0251D">
      <w:r>
        <w:separator/>
      </w:r>
    </w:p>
  </w:footnote>
  <w:footnote w:type="continuationSeparator" w:id="0">
    <w:p w14:paraId="267B149A" w14:textId="77777777" w:rsidR="00C0251D" w:rsidRDefault="00C0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8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9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0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1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0"/>
  </w:num>
  <w:num w:numId="8" w16cid:durableId="1910116148">
    <w:abstractNumId w:val="9"/>
  </w:num>
  <w:num w:numId="9" w16cid:durableId="1969387282">
    <w:abstractNumId w:val="2"/>
  </w:num>
  <w:num w:numId="10" w16cid:durableId="458761959">
    <w:abstractNumId w:val="7"/>
  </w:num>
  <w:num w:numId="11" w16cid:durableId="1461799773">
    <w:abstractNumId w:val="8"/>
  </w:num>
  <w:num w:numId="12" w16cid:durableId="2143687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120B9B"/>
    <w:rsid w:val="001C48E8"/>
    <w:rsid w:val="00570773"/>
    <w:rsid w:val="005B7472"/>
    <w:rsid w:val="006467CA"/>
    <w:rsid w:val="006B40F2"/>
    <w:rsid w:val="00722CA2"/>
    <w:rsid w:val="00A46637"/>
    <w:rsid w:val="00BA798B"/>
    <w:rsid w:val="00BD68AD"/>
    <w:rsid w:val="00C0251D"/>
    <w:rsid w:val="00C94BB0"/>
    <w:rsid w:val="00CA642D"/>
    <w:rsid w:val="00DE7AAE"/>
    <w:rsid w:val="00EC41A7"/>
    <w:rsid w:val="00F0611D"/>
    <w:rsid w:val="00FE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2315</Words>
  <Characters>13201</Characters>
  <Application>Microsoft Office Word</Application>
  <DocSecurity>0</DocSecurity>
  <Lines>110</Lines>
  <Paragraphs>30</Paragraphs>
  <ScaleCrop>false</ScaleCrop>
  <Company/>
  <LinksUpToDate>false</LinksUpToDate>
  <CharactersWithSpaces>15486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15</cp:revision>
  <dcterms:created xsi:type="dcterms:W3CDTF">2024-02-19T13:59:00Z</dcterms:created>
  <dcterms:modified xsi:type="dcterms:W3CDTF">2024-02-28T14:38:00Z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