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F088E" w14:textId="42091900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FF60C7">
        <w:rPr>
          <w:sz w:val="22"/>
          <w:szCs w:val="22"/>
        </w:rPr>
        <w:t>6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7815A9D5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D03FB9" w:rsidRPr="00D03FB9">
        <w:rPr>
          <w:b/>
          <w:bCs/>
          <w:sz w:val="22"/>
          <w:szCs w:val="22"/>
        </w:rPr>
        <w:t>Zneškodnenie zmesového komunálneho odpadu skládkovaním - odpad kategórie „O“ s katalógovým číslom 20 03 01</w:t>
      </w:r>
      <w:r w:rsidR="0064727C" w:rsidRPr="008775D1">
        <w:rPr>
          <w:b/>
          <w:bCs/>
          <w:sz w:val="22"/>
          <w:szCs w:val="22"/>
        </w:rPr>
        <w:t xml:space="preserve">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03FB9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23</cp:revision>
  <dcterms:created xsi:type="dcterms:W3CDTF">2021-09-02T15:49:00Z</dcterms:created>
  <dcterms:modified xsi:type="dcterms:W3CDTF">2024-02-29T12:11:00Z</dcterms:modified>
</cp:coreProperties>
</file>