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rFonts w:hint="default"/>
          <w:color w:val="auto"/>
          <w:lang w:val="sk-SK"/>
        </w:rPr>
      </w:pPr>
      <w:r>
        <w:rPr>
          <w:b/>
          <w:color w:val="auto"/>
        </w:rPr>
        <w:t>2. Kupujúci :</w:t>
      </w:r>
      <w:r>
        <w:rPr>
          <w:b/>
          <w:color w:val="auto"/>
        </w:rPr>
        <w:tab/>
      </w:r>
      <w:r>
        <w:rPr>
          <w:b/>
          <w:color w:val="auto"/>
        </w:rPr>
        <w:tab/>
      </w:r>
      <w:r>
        <w:rPr>
          <w:rFonts w:hint="default"/>
          <w:color w:val="auto"/>
          <w:lang w:val="sk-SK"/>
        </w:rPr>
        <w:t>Peter Horňák SHR</w:t>
      </w:r>
    </w:p>
    <w:p>
      <w:pPr>
        <w:pStyle w:val="12"/>
        <w:rPr>
          <w:rFonts w:hint="default"/>
          <w:color w:val="auto"/>
          <w:lang w:val="sk-SK"/>
        </w:rPr>
      </w:pPr>
      <w:r>
        <w:rPr>
          <w:rFonts w:hint="default"/>
          <w:color w:val="auto"/>
          <w:lang w:val="sk-SK"/>
        </w:rPr>
        <w:t>So sídlom:</w:t>
      </w:r>
      <w:r>
        <w:rPr>
          <w:rFonts w:hint="default"/>
          <w:color w:val="auto"/>
          <w:lang w:val="sk-SK"/>
        </w:rPr>
        <w:tab/>
      </w:r>
      <w:r>
        <w:rPr>
          <w:rFonts w:hint="default"/>
          <w:color w:val="auto"/>
          <w:lang w:val="sk-SK"/>
        </w:rPr>
        <w:tab/>
      </w:r>
      <w:r>
        <w:rPr>
          <w:rFonts w:hint="default"/>
          <w:color w:val="auto"/>
          <w:lang w:val="sk-SK"/>
        </w:rPr>
        <w:t>92584 Vlčany 626</w:t>
      </w:r>
    </w:p>
    <w:p>
      <w:pPr>
        <w:pStyle w:val="12"/>
        <w:rPr>
          <w:rFonts w:hint="default"/>
          <w:color w:val="auto"/>
          <w:lang w:val="sk-SK"/>
        </w:rPr>
      </w:pPr>
      <w:r>
        <w:rPr>
          <w:rFonts w:hint="default"/>
          <w:color w:val="auto"/>
          <w:lang w:val="sk-SK"/>
        </w:rPr>
        <w:t xml:space="preserve">Štatutárny zástupca: </w:t>
      </w:r>
      <w:r>
        <w:rPr>
          <w:rFonts w:hint="default"/>
          <w:color w:val="auto"/>
          <w:lang w:val="sk-SK"/>
        </w:rPr>
        <w:tab/>
      </w:r>
      <w:r>
        <w:rPr>
          <w:rFonts w:hint="default"/>
          <w:color w:val="auto"/>
          <w:lang w:val="sk-SK"/>
        </w:rPr>
        <w:t>Peter Horňák</w:t>
      </w:r>
    </w:p>
    <w:p>
      <w:pPr>
        <w:pStyle w:val="12"/>
        <w:rPr>
          <w:rFonts w:hint="default"/>
          <w:color w:val="auto"/>
          <w:lang w:val="sk-SK"/>
        </w:rPr>
      </w:pPr>
      <w:r>
        <w:rPr>
          <w:rFonts w:hint="default"/>
          <w:color w:val="auto"/>
          <w:lang w:val="sk-SK"/>
        </w:rPr>
        <w:t xml:space="preserve">- Osoba oprávnená konať vo veciach technických: </w:t>
      </w:r>
      <w:r>
        <w:rPr>
          <w:rFonts w:hint="default"/>
          <w:color w:val="auto"/>
          <w:lang w:val="sk-SK"/>
        </w:rPr>
        <w:tab/>
      </w:r>
      <w:r>
        <w:rPr>
          <w:rFonts w:hint="default"/>
          <w:color w:val="auto"/>
          <w:lang w:val="sk-SK"/>
        </w:rPr>
        <w:t>Peter Horňák (peter.hornak8@gmail.com)</w:t>
      </w:r>
    </w:p>
    <w:p>
      <w:pPr>
        <w:pStyle w:val="12"/>
        <w:rPr>
          <w:color w:val="auto"/>
        </w:rPr>
      </w:pPr>
      <w:r>
        <w:rPr>
          <w:color w:val="auto"/>
        </w:rPr>
        <w:t xml:space="preserve">IČO : </w:t>
      </w:r>
      <w:r>
        <w:rPr>
          <w:color w:val="auto"/>
        </w:rPr>
        <w:tab/>
      </w:r>
      <w:r>
        <w:rPr>
          <w:color w:val="auto"/>
        </w:rPr>
        <w:tab/>
      </w:r>
      <w:r>
        <w:rPr>
          <w:color w:val="auto"/>
        </w:rPr>
        <w:tab/>
      </w:r>
      <w:r>
        <w:rPr>
          <w:color w:val="auto"/>
        </w:rPr>
        <w:t>44959125</w:t>
      </w:r>
    </w:p>
    <w:p>
      <w:pPr>
        <w:pStyle w:val="12"/>
        <w:rPr>
          <w:color w:val="auto"/>
        </w:rPr>
      </w:pPr>
      <w:r>
        <w:rPr>
          <w:color w:val="auto"/>
        </w:rPr>
        <w:t>DIČ :</w:t>
      </w:r>
      <w:r>
        <w:rPr>
          <w:color w:val="auto"/>
        </w:rPr>
        <w:tab/>
      </w:r>
      <w:r>
        <w:rPr>
          <w:color w:val="auto"/>
        </w:rPr>
        <w:tab/>
      </w:r>
      <w:r>
        <w:rPr>
          <w:color w:val="auto"/>
        </w:rPr>
        <w:tab/>
      </w:r>
      <w:r>
        <w:rPr>
          <w:color w:val="auto"/>
        </w:rPr>
        <w:t>1079829652</w:t>
      </w:r>
    </w:p>
    <w:p>
      <w:pPr>
        <w:pStyle w:val="12"/>
        <w:rPr>
          <w:color w:val="auto"/>
        </w:rPr>
      </w:pPr>
      <w:r>
        <w:rPr>
          <w:color w:val="auto"/>
        </w:rPr>
        <w:t xml:space="preserve">IČ DPH: </w:t>
      </w:r>
      <w:r>
        <w:rPr>
          <w:color w:val="auto"/>
        </w:rPr>
        <w:tab/>
      </w:r>
      <w:r>
        <w:rPr>
          <w:color w:val="auto"/>
        </w:rPr>
        <w:tab/>
      </w:r>
      <w:r>
        <w:rPr>
          <w:color w:val="auto"/>
        </w:rPr>
        <w:t>SK1079829652</w:t>
      </w:r>
    </w:p>
    <w:p>
      <w:pPr>
        <w:pStyle w:val="12"/>
        <w:rPr>
          <w:color w:val="auto"/>
        </w:rPr>
      </w:pPr>
      <w:r>
        <w:rPr>
          <w:color w:val="auto"/>
        </w:rPr>
        <w:t>Bank. spojenie :</w:t>
      </w:r>
      <w:r>
        <w:rPr>
          <w:color w:val="auto"/>
        </w:rPr>
        <w:tab/>
      </w:r>
      <w:r>
        <w:rPr>
          <w:color w:val="auto"/>
        </w:rPr>
        <w:t>Tatra banka, a.s.</w:t>
      </w:r>
    </w:p>
    <w:p>
      <w:pPr>
        <w:pStyle w:val="12"/>
        <w:rPr>
          <w:rFonts w:hint="default"/>
          <w:color w:val="auto"/>
          <w:lang w:val="sk-SK"/>
        </w:rPr>
      </w:pPr>
      <w:r>
        <w:rPr>
          <w:color w:val="auto"/>
        </w:rPr>
        <w:t>Číslo účtu IBAN:</w:t>
      </w:r>
      <w:r>
        <w:rPr>
          <w:color w:val="auto"/>
        </w:rPr>
        <w:tab/>
      </w:r>
      <w:r>
        <w:rPr>
          <w:color w:val="auto"/>
        </w:rPr>
        <w:t>SK7911000000002940020000</w:t>
      </w:r>
    </w:p>
    <w:p>
      <w:pPr>
        <w:pStyle w:val="12"/>
        <w:rPr>
          <w:rFonts w:hint="default"/>
          <w:color w:val="auto"/>
          <w:lang w:val="sk-SK"/>
        </w:rPr>
      </w:pPr>
      <w:r>
        <w:rPr>
          <w:color w:val="auto"/>
        </w:rPr>
        <w:t xml:space="preserve">Zapísaný </w:t>
      </w:r>
      <w:r>
        <w:rPr>
          <w:rFonts w:hint="default"/>
          <w:color w:val="auto"/>
          <w:lang w:val="sk-SK"/>
        </w:rPr>
        <w:t>ako SHR v obci Vlčany</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bCs/>
          <w:i/>
          <w:iCs/>
          <w:color w:val="auto"/>
          <w:lang w:val="sk-SK"/>
        </w:rPr>
        <w:t>Kyprič</w:t>
      </w:r>
      <w:r>
        <w:rPr>
          <w:rFonts w:hint="default"/>
          <w:b/>
          <w:i/>
          <w:iCs/>
          <w:lang w:val="sk-SK"/>
        </w:rPr>
        <w:t xml:space="preserve"> </w:t>
      </w:r>
      <w:r>
        <w:rPr>
          <w:b/>
          <w:i/>
          <w:iCs/>
        </w:rPr>
        <w:t xml:space="preserve">v počte 1 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Zmluvné strany si dohodli termín dodania tovaru</w:t>
      </w:r>
      <w:r>
        <w:rPr>
          <w:color w:val="auto"/>
          <w:highlight w:val="yellow"/>
        </w:rPr>
        <w:t xml:space="preserve"> </w:t>
      </w:r>
      <w:r>
        <w:rPr>
          <w:bCs/>
          <w:color w:val="auto"/>
          <w:highlight w:val="yellow"/>
        </w:rPr>
        <w:t>do</w:t>
      </w:r>
      <w:r>
        <w:rPr>
          <w:color w:val="auto"/>
          <w:highlight w:val="yellow"/>
        </w:rPr>
        <w:t xml:space="preserve"> </w:t>
      </w:r>
      <w:r>
        <w:rPr>
          <w:rFonts w:hint="default"/>
          <w:color w:val="auto"/>
          <w:highlight w:val="yellow"/>
          <w:lang w:val="sk-SK"/>
        </w:rPr>
        <w:t>60</w:t>
      </w:r>
      <w:r>
        <w:rPr>
          <w:color w:val="auto"/>
          <w:highlight w:val="yellow"/>
        </w:rPr>
        <w:t xml:space="preserve"> dní</w:t>
      </w:r>
      <w:r>
        <w:rPr>
          <w:b/>
          <w:color w:val="auto"/>
          <w:highlight w:val="yellow"/>
        </w:rPr>
        <w:t xml:space="preserve"> </w:t>
      </w:r>
      <w:r>
        <w:rPr>
          <w:color w:val="auto"/>
        </w:rPr>
        <w:t>odo dňa platnosti zmluvy.</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sa zaväzuje vystaviť faktúru v elektronickej forme a doručiť ju kupujúcemu na peter.hornak8@gmail.com. V</w:t>
      </w:r>
      <w:r>
        <w:rPr>
          <w:color w:val="auto"/>
        </w:rPr>
        <w:t xml:space="preserve">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oblasť 1. Špeciálna rastlinná výroba,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firstLine="720" w:firstLineChars="30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p>
    <w:p>
      <w:pPr>
        <w:pStyle w:val="12"/>
        <w:ind w:left="360"/>
        <w:rPr>
          <w:color w:val="auto"/>
        </w:rPr>
      </w:pPr>
    </w:p>
    <w:p>
      <w:pPr>
        <w:pStyle w:val="12"/>
        <w:rPr>
          <w:rFonts w:hint="default"/>
          <w:color w:val="auto"/>
          <w:lang w:val="sk-SK"/>
        </w:rPr>
      </w:pPr>
      <w:r>
        <w:rPr>
          <w:color w:val="auto"/>
        </w:rPr>
        <w:tab/>
      </w:r>
      <w:r>
        <w:rPr>
          <w:color w:val="auto"/>
        </w:rPr>
        <w:t>V............................ dňa: ............202</w:t>
      </w:r>
      <w:r>
        <w:rPr>
          <w:rFonts w:hint="default"/>
          <w:color w:val="auto"/>
          <w:lang w:val="sk-SK"/>
        </w:rPr>
        <w:t>4</w:t>
      </w:r>
      <w:r>
        <w:rPr>
          <w:color w:val="auto"/>
        </w:rPr>
        <w:tab/>
      </w:r>
      <w:r>
        <w:rPr>
          <w:color w:val="auto"/>
        </w:rPr>
        <w:t>V</w:t>
      </w:r>
      <w:r>
        <w:rPr>
          <w:rFonts w:hint="default"/>
          <w:color w:val="auto"/>
          <w:lang w:val="sk-SK"/>
        </w:rPr>
        <w:t xml:space="preserve">o Vlčanoch </w:t>
      </w:r>
      <w:r>
        <w:rPr>
          <w:color w:val="auto"/>
        </w:rPr>
        <w:t>dňa</w:t>
      </w:r>
      <w:r>
        <w:rPr>
          <w:rFonts w:hint="default"/>
          <w:color w:val="auto"/>
          <w:lang w:val="sk-SK"/>
        </w:rPr>
        <w:t>:</w:t>
      </w:r>
      <w:r>
        <w:rPr>
          <w:color w:val="auto"/>
        </w:rPr>
        <w:t xml:space="preserve"> .................... 202</w:t>
      </w:r>
      <w:r>
        <w:rPr>
          <w:rFonts w:hint="default"/>
          <w:color w:val="auto"/>
          <w:lang w:val="sk-SK"/>
        </w:rPr>
        <w:t>4</w:t>
      </w:r>
      <w:bookmarkStart w:id="0" w:name="_GoBack"/>
      <w:bookmarkEnd w:id="0"/>
    </w:p>
    <w:p>
      <w:pPr>
        <w:pStyle w:val="12"/>
        <w:rPr>
          <w:color w:val="auto"/>
        </w:rPr>
      </w:pPr>
    </w:p>
    <w:p>
      <w:pPr>
        <w:pStyle w:val="12"/>
        <w:rPr>
          <w:rFonts w:hint="default"/>
          <w:color w:val="auto"/>
          <w:lang w:val="sk-SK"/>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r>
        <w:rPr>
          <w:rFonts w:hint="default"/>
          <w:color w:val="auto"/>
          <w:lang w:val="sk-SK"/>
        </w:rPr>
        <w:t xml:space="preserve"> </w:t>
      </w:r>
      <w:r>
        <w:rPr>
          <w:color w:val="auto"/>
        </w:rPr>
        <w:t>Peter Horňák SHR</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Peter Horňák</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F1F08B8"/>
    <w:rsid w:val="2C862410"/>
    <w:rsid w:val="379C7C4E"/>
    <w:rsid w:val="464542B3"/>
    <w:rsid w:val="57644B6A"/>
    <w:rsid w:val="5A7A4953"/>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4</TotalTime>
  <ScaleCrop>false</ScaleCrop>
  <LinksUpToDate>false</LinksUpToDate>
  <CharactersWithSpaces>18563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google1561374093</cp:lastModifiedBy>
  <cp:lastPrinted>2022-03-23T06:10:00Z</cp:lastPrinted>
  <dcterms:modified xsi:type="dcterms:W3CDTF">2024-03-06T10:13:34Z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47FA921E1F7A47518198963291C64BFC</vt:lpwstr>
  </property>
</Properties>
</file>