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34AD1CF6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b/>
          <w:bCs/>
          <w:sz w:val="24"/>
          <w:szCs w:val="24"/>
        </w:rPr>
        <w:t>OVOSAD spol. s r. o.</w:t>
      </w:r>
    </w:p>
    <w:p w14:paraId="7B32DC21" w14:textId="320F1D79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>Jablonská 9015, 907 01  Myjava</w:t>
      </w:r>
    </w:p>
    <w:p w14:paraId="6933D9FE" w14:textId="59018325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10264F">
        <w:rPr>
          <w:rFonts w:ascii="Times New Roman" w:hAnsi="Times New Roman" w:cs="Times New Roman"/>
          <w:sz w:val="24"/>
          <w:szCs w:val="24"/>
        </w:rPr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633B6203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 w:rsidR="00031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Říha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</w:p>
    <w:p w14:paraId="089FC53A" w14:textId="77777777" w:rsidR="0010264F" w:rsidRPr="001A1696" w:rsidRDefault="00075EB1" w:rsidP="0010264F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0264F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10264F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102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745E0787" w:rsidR="00075EB1" w:rsidRPr="003679AF" w:rsidRDefault="0010264F" w:rsidP="0010264F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SK14 1111 0000 0066 1775 5021</w:t>
      </w:r>
      <w:r w:rsidR="00075EB1"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35E14E38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eastAsia="Times New Roman" w:hAnsi="Times New Roman" w:cs="Times New Roman"/>
          <w:sz w:val="24"/>
          <w:szCs w:val="24"/>
        </w:rPr>
        <w:t>36318701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2036750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10264F" w:rsidRPr="0010264F">
        <w:rPr>
          <w:rFonts w:ascii="Times New Roman" w:eastAsia="Times New Roman" w:hAnsi="Times New Roman" w:cs="Times New Roman"/>
          <w:sz w:val="24"/>
          <w:szCs w:val="24"/>
        </w:rPr>
        <w:t>2020189622</w:t>
      </w:r>
    </w:p>
    <w:p w14:paraId="6DBCC549" w14:textId="559C3EF3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</w:t>
      </w:r>
      <w:r w:rsidR="0010264F" w:rsidRPr="0010264F">
        <w:rPr>
          <w:rFonts w:ascii="Times New Roman" w:hAnsi="Times New Roman" w:cs="Times New Roman"/>
          <w:sz w:val="24"/>
          <w:szCs w:val="24"/>
        </w:rPr>
        <w:t>2020189622</w:t>
      </w:r>
    </w:p>
    <w:p w14:paraId="7DE972E2" w14:textId="5B5F3329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0315C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 w:rsidR="00031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C1">
        <w:rPr>
          <w:rFonts w:ascii="Times New Roman" w:hAnsi="Times New Roman" w:cs="Times New Roman"/>
          <w:sz w:val="24"/>
          <w:szCs w:val="24"/>
        </w:rPr>
        <w:t>Říha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5BC1AD77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315C1">
        <w:rPr>
          <w:rFonts w:ascii="Times New Roman" w:eastAsia="Times New Roman" w:hAnsi="Times New Roman" w:cs="Times New Roman"/>
          <w:sz w:val="24"/>
          <w:szCs w:val="24"/>
        </w:rPr>
        <w:t>Ťahaný postrekovač s technológiou precíznej aplikácie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227C7839" w:rsidR="00910050" w:rsidRPr="009B2D9A" w:rsidRDefault="000315C1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Ťahaný postrekovač s technológiou precíznej aplikácie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19D4CB3F" w:rsidR="00722D29" w:rsidRPr="0095531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98EBD" w14:textId="77777777" w:rsidR="00F507EF" w:rsidRDefault="00F507EF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90EDF4" w14:textId="667F24F4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0B2B66E7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F507EF">
        <w:rPr>
          <w:rFonts w:ascii="Times New Roman" w:eastAsia="Times New Roman" w:hAnsi="Times New Roman" w:cs="Times New Roman"/>
          <w:color w:val="auto"/>
          <w:sz w:val="24"/>
          <w:szCs w:val="24"/>
        </w:rPr>
        <w:t>Myjave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67EBD" w14:textId="77777777" w:rsidR="009E0B2E" w:rsidRPr="009B2D9A" w:rsidRDefault="009E0B2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5772639F" w:rsidR="00BF1AD9" w:rsidRPr="00D51647" w:rsidRDefault="000315C1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Břetislav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Říh</w:t>
      </w:r>
      <w:r w:rsidR="00F507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07EF">
        <w:rPr>
          <w:rFonts w:ascii="Times New Roman" w:hAnsi="Times New Roman" w:cs="Times New Roman"/>
          <w:sz w:val="24"/>
          <w:szCs w:val="24"/>
        </w:rPr>
        <w:t xml:space="preserve"> - konateľ</w:t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9F151E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1697EF8" w14:textId="77777777" w:rsidR="009E0B2E" w:rsidRDefault="008503EF" w:rsidP="009E0B2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Prílohy:  </w:t>
      </w:r>
    </w:p>
    <w:p w14:paraId="55615D2B" w14:textId="1DF3124E" w:rsidR="009E0B2E" w:rsidRDefault="008503EF" w:rsidP="009E0B2E">
      <w:pPr>
        <w:pStyle w:val="Odsekzoznamu"/>
        <w:numPr>
          <w:ilvl w:val="0"/>
          <w:numId w:val="14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E0B2E">
        <w:rPr>
          <w:rFonts w:ascii="Times New Roman" w:hAnsi="Times New Roman" w:cs="Times New Roman"/>
          <w:sz w:val="24"/>
          <w:szCs w:val="24"/>
        </w:rPr>
        <w:t>Návrh technickej špecifikácie a</w:t>
      </w:r>
      <w:r w:rsidR="009E0B2E">
        <w:rPr>
          <w:rFonts w:ascii="Times New Roman" w:hAnsi="Times New Roman" w:cs="Times New Roman"/>
          <w:sz w:val="24"/>
          <w:szCs w:val="24"/>
        </w:rPr>
        <w:t> </w:t>
      </w:r>
      <w:r w:rsidRPr="009E0B2E">
        <w:rPr>
          <w:rFonts w:ascii="Times New Roman" w:hAnsi="Times New Roman" w:cs="Times New Roman"/>
          <w:sz w:val="24"/>
          <w:szCs w:val="24"/>
        </w:rPr>
        <w:t>cien</w:t>
      </w:r>
    </w:p>
    <w:p w14:paraId="1E2F0B1C" w14:textId="77777777" w:rsidR="009E0B2E" w:rsidRDefault="008503EF" w:rsidP="009E0B2E">
      <w:pPr>
        <w:pStyle w:val="Odsekzoznamu"/>
        <w:numPr>
          <w:ilvl w:val="0"/>
          <w:numId w:val="14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E0B2E"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070D241C" w:rsidR="008503EF" w:rsidRPr="009E0B2E" w:rsidRDefault="009E0B2E" w:rsidP="009E0B2E">
      <w:pPr>
        <w:pStyle w:val="Odsekzoznamu"/>
        <w:numPr>
          <w:ilvl w:val="0"/>
          <w:numId w:val="14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E0B2E">
        <w:rPr>
          <w:rFonts w:ascii="Times New Roman" w:hAnsi="Times New Roman" w:cs="Times New Roman"/>
          <w:sz w:val="24"/>
          <w:szCs w:val="24"/>
        </w:rPr>
        <w:t>Potvrdenie o zápise aplikačného zariadenia do zoznamu evidovaných typov aplikačných zariadení</w:t>
      </w:r>
      <w:r w:rsidR="008503EF" w:rsidRPr="009E0B2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68DFD134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315C1">
      <w:rPr>
        <w:color w:val="C0C0C0"/>
        <w:sz w:val="20"/>
        <w:szCs w:val="20"/>
      </w:rPr>
      <w:t>OVOSAD spol. s r. o.</w:t>
    </w:r>
  </w:p>
  <w:p w14:paraId="78B49846" w14:textId="1DF1E577" w:rsidR="00530413" w:rsidRPr="00BB5F51" w:rsidRDefault="000315C1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Ťahaný postrekovač s technológiou precíznej aplikácie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2CC0"/>
    <w:multiLevelType w:val="hybridMultilevel"/>
    <w:tmpl w:val="1D1C3D8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7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8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2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5"/>
  </w:num>
  <w:num w:numId="5" w16cid:durableId="1263417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9"/>
  </w:num>
  <w:num w:numId="9" w16cid:durableId="507673457">
    <w:abstractNumId w:val="1"/>
  </w:num>
  <w:num w:numId="10" w16cid:durableId="903834316">
    <w:abstractNumId w:val="4"/>
  </w:num>
  <w:num w:numId="11" w16cid:durableId="220791700">
    <w:abstractNumId w:val="2"/>
  </w:num>
  <w:num w:numId="12" w16cid:durableId="1495684945">
    <w:abstractNumId w:val="12"/>
  </w:num>
  <w:num w:numId="13" w16cid:durableId="841745349">
    <w:abstractNumId w:val="10"/>
  </w:num>
  <w:num w:numId="14" w16cid:durableId="600407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315C1"/>
    <w:rsid w:val="00060369"/>
    <w:rsid w:val="00060517"/>
    <w:rsid w:val="00075EB1"/>
    <w:rsid w:val="00097BD2"/>
    <w:rsid w:val="000B1D3A"/>
    <w:rsid w:val="000B5569"/>
    <w:rsid w:val="000E51DD"/>
    <w:rsid w:val="0010264F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83F91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5060"/>
    <w:rsid w:val="008B6D54"/>
    <w:rsid w:val="008C1FDA"/>
    <w:rsid w:val="008D4F44"/>
    <w:rsid w:val="008E7420"/>
    <w:rsid w:val="008F6EC2"/>
    <w:rsid w:val="008F74A5"/>
    <w:rsid w:val="00910050"/>
    <w:rsid w:val="009319B5"/>
    <w:rsid w:val="0095531A"/>
    <w:rsid w:val="00971A3C"/>
    <w:rsid w:val="009B2D9A"/>
    <w:rsid w:val="009E0479"/>
    <w:rsid w:val="009E0B2E"/>
    <w:rsid w:val="009E759F"/>
    <w:rsid w:val="009F151E"/>
    <w:rsid w:val="009F64B1"/>
    <w:rsid w:val="00A338E6"/>
    <w:rsid w:val="00A35F54"/>
    <w:rsid w:val="00A666A0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85565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507EF"/>
    <w:rsid w:val="00F63595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23</cp:revision>
  <dcterms:created xsi:type="dcterms:W3CDTF">2023-07-17T05:34:00Z</dcterms:created>
  <dcterms:modified xsi:type="dcterms:W3CDTF">2024-03-12T17:06:00Z</dcterms:modified>
</cp:coreProperties>
</file>