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6BEDA0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824311"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31134311" w:rsidR="002A6B55" w:rsidRPr="00D21DAC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D21DAC">
        <w:rPr>
          <w:rFonts w:ascii="Calibri" w:hAnsi="Calibri" w:cs="Calibri"/>
          <w:b/>
          <w:sz w:val="22"/>
          <w:szCs w:val="22"/>
        </w:rPr>
        <w:t xml:space="preserve">Zákazka: </w:t>
      </w:r>
      <w:r w:rsidR="00D73043" w:rsidRPr="00D73043">
        <w:rPr>
          <w:rFonts w:ascii="Calibri" w:hAnsi="Calibri" w:cs="Calibri"/>
          <w:b/>
          <w:bCs/>
          <w:sz w:val="22"/>
          <w:szCs w:val="22"/>
        </w:rPr>
        <w:t>Servis, diagnostika, opravy ručných uzatváracích armatúr, poistných ventilov a odvádzačov kondenzátu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000000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000000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126EB0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98B0" w14:textId="77777777" w:rsidR="00126EB0" w:rsidRDefault="00126EB0" w:rsidP="00DB216D">
      <w:pPr>
        <w:spacing w:after="0"/>
      </w:pPr>
      <w:r>
        <w:separator/>
      </w:r>
    </w:p>
  </w:endnote>
  <w:endnote w:type="continuationSeparator" w:id="0">
    <w:p w14:paraId="2A2E822F" w14:textId="77777777" w:rsidR="00126EB0" w:rsidRDefault="00126EB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D7AD" w14:textId="77777777" w:rsidR="00126EB0" w:rsidRDefault="00126EB0" w:rsidP="00DB216D">
      <w:pPr>
        <w:spacing w:after="0"/>
      </w:pPr>
      <w:r>
        <w:separator/>
      </w:r>
    </w:p>
  </w:footnote>
  <w:footnote w:type="continuationSeparator" w:id="0">
    <w:p w14:paraId="66D0F5D9" w14:textId="77777777" w:rsidR="00126EB0" w:rsidRDefault="00126EB0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26EB0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DAC"/>
    <w:rsid w:val="00D21FEA"/>
    <w:rsid w:val="00D545AB"/>
    <w:rsid w:val="00D569B4"/>
    <w:rsid w:val="00D73043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13</cp:revision>
  <dcterms:created xsi:type="dcterms:W3CDTF">2022-06-29T08:36:00Z</dcterms:created>
  <dcterms:modified xsi:type="dcterms:W3CDTF">2024-03-21T09:17:00Z</dcterms:modified>
</cp:coreProperties>
</file>