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CB3A" w14:textId="16B356E8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r w:rsidR="00BA7544">
        <w:rPr>
          <w:rFonts w:ascii="Times New Roman" w:hAnsi="Times New Roman"/>
          <w:sz w:val="22"/>
          <w:szCs w:val="22"/>
        </w:rPr>
        <w:t>5</w:t>
      </w:r>
      <w:r w:rsidRPr="0010611D">
        <w:rPr>
          <w:rFonts w:ascii="Times New Roman" w:hAnsi="Times New Roman"/>
          <w:sz w:val="22"/>
          <w:szCs w:val="22"/>
        </w:rPr>
        <w:t xml:space="preserve"> </w:t>
      </w:r>
      <w:bookmarkStart w:id="0" w:name="_Toc495909278"/>
      <w:bookmarkStart w:id="1" w:name="_Toc32568772"/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1E4494EB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</w:t>
      </w:r>
      <w:r w:rsidR="00D7496B" w:rsidRPr="00D7496B">
        <w:rPr>
          <w:rFonts w:eastAsia="Courier New"/>
          <w:b/>
          <w:bCs/>
          <w:iCs/>
          <w:noProof/>
          <w:sz w:val="22"/>
          <w:szCs w:val="22"/>
          <w:lang w:eastAsia="en-US"/>
        </w:rPr>
        <w:t>Zhodnotenie biologicky rozložiteľného odpadu zo záhrad (BRO)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1669DC6B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61552A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D7496B" w:rsidRPr="00D7496B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Zhodnotenie biologicky rozložiteľného odpadu zo záhrad (BRO)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367BAC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367BAC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3C6D" w14:textId="77777777" w:rsidR="00E82F4A" w:rsidRDefault="00E82F4A" w:rsidP="00070346">
      <w:r>
        <w:separator/>
      </w:r>
    </w:p>
  </w:endnote>
  <w:endnote w:type="continuationSeparator" w:id="0">
    <w:p w14:paraId="0DAF6D0F" w14:textId="77777777" w:rsidR="00E82F4A" w:rsidRDefault="00E82F4A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C43AB" w14:textId="77777777" w:rsidR="00E82F4A" w:rsidRDefault="00E82F4A" w:rsidP="00070346">
      <w:r>
        <w:separator/>
      </w:r>
    </w:p>
  </w:footnote>
  <w:footnote w:type="continuationSeparator" w:id="0">
    <w:p w14:paraId="0C9C18C3" w14:textId="77777777" w:rsidR="00E82F4A" w:rsidRDefault="00E82F4A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301A5F"/>
    <w:rsid w:val="00313D99"/>
    <w:rsid w:val="00367BAC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1552A"/>
    <w:rsid w:val="006215DE"/>
    <w:rsid w:val="00626759"/>
    <w:rsid w:val="00652E7C"/>
    <w:rsid w:val="006A1100"/>
    <w:rsid w:val="006C64B4"/>
    <w:rsid w:val="00703020"/>
    <w:rsid w:val="007839E1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A1D1A"/>
    <w:rsid w:val="00CB6849"/>
    <w:rsid w:val="00CE4C6E"/>
    <w:rsid w:val="00CF2492"/>
    <w:rsid w:val="00D7496B"/>
    <w:rsid w:val="00DD03A6"/>
    <w:rsid w:val="00E82F4A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295C38"/>
    <w:rsid w:val="002F07E8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2024-03-20T08:42:00Z</dcterms:modified>
</cp:coreProperties>
</file>