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jc w:val="center"/>
        <w:rPr>
          <w:b/>
          <w:color w:val="auto"/>
          <w:sz w:val="12"/>
          <w:szCs w:val="12"/>
          <w:highlight w:val="none"/>
        </w:rPr>
      </w:pPr>
    </w:p>
    <w:p>
      <w:pPr>
        <w:pStyle w:val="12"/>
        <w:jc w:val="center"/>
        <w:rPr>
          <w:b/>
          <w:color w:val="auto"/>
          <w:sz w:val="40"/>
          <w:highlight w:val="none"/>
        </w:rPr>
      </w:pPr>
      <w:r>
        <w:rPr>
          <w:b/>
          <w:color w:val="auto"/>
          <w:sz w:val="40"/>
          <w:highlight w:val="none"/>
        </w:rPr>
        <w:t>Kúpna zmluva</w:t>
      </w:r>
    </w:p>
    <w:p>
      <w:pPr>
        <w:pStyle w:val="12"/>
        <w:jc w:val="center"/>
        <w:rPr>
          <w:b/>
          <w:color w:val="auto"/>
          <w:highlight w:val="none"/>
        </w:rPr>
      </w:pPr>
    </w:p>
    <w:p>
      <w:pPr>
        <w:pStyle w:val="12"/>
        <w:jc w:val="center"/>
        <w:rPr>
          <w:color w:val="auto"/>
          <w:highlight w:val="none"/>
        </w:rPr>
      </w:pPr>
      <w:r>
        <w:rPr>
          <w:color w:val="auto"/>
          <w:highlight w:val="none"/>
        </w:rPr>
        <w:t>uzatvorená podľa § 409 a nasl. zákona č. 513/1991 Zb. Obchodný zákonník v.z.n.p. a ostatných všeobecne záväzných právnych predpisov platných na území SR </w:t>
      </w:r>
    </w:p>
    <w:p>
      <w:pPr>
        <w:pStyle w:val="12"/>
        <w:jc w:val="center"/>
        <w:rPr>
          <w:color w:val="auto"/>
          <w:highlight w:val="none"/>
        </w:rPr>
      </w:pPr>
      <w:r>
        <w:rPr>
          <w:color w:val="auto"/>
          <w:highlight w:val="none"/>
        </w:rPr>
        <w:t>(ďalej iba „zmluva“)</w:t>
      </w:r>
    </w:p>
    <w:p>
      <w:pPr>
        <w:pStyle w:val="12"/>
        <w:rPr>
          <w:b/>
          <w:color w:val="auto"/>
          <w:sz w:val="12"/>
          <w:szCs w:val="12"/>
          <w:highlight w:val="none"/>
        </w:rPr>
      </w:pPr>
    </w:p>
    <w:p>
      <w:pPr>
        <w:pStyle w:val="12"/>
        <w:numPr>
          <w:ilvl w:val="0"/>
          <w:numId w:val="1"/>
        </w:numPr>
        <w:autoSpaceDE/>
        <w:autoSpaceDN/>
        <w:adjustRightInd/>
        <w:jc w:val="center"/>
        <w:rPr>
          <w:b/>
          <w:color w:val="auto"/>
          <w:sz w:val="28"/>
          <w:szCs w:val="28"/>
          <w:highlight w:val="none"/>
        </w:rPr>
      </w:pPr>
      <w:r>
        <w:rPr>
          <w:b/>
          <w:color w:val="auto"/>
          <w:sz w:val="28"/>
          <w:szCs w:val="28"/>
          <w:highlight w:val="none"/>
        </w:rPr>
        <w:t>Zmluvné strany</w:t>
      </w:r>
    </w:p>
    <w:p>
      <w:pPr>
        <w:pStyle w:val="12"/>
        <w:ind w:left="360"/>
        <w:jc w:val="center"/>
        <w:rPr>
          <w:b/>
          <w:color w:val="auto"/>
          <w:sz w:val="12"/>
          <w:szCs w:val="12"/>
          <w:highlight w:val="none"/>
        </w:rPr>
      </w:pPr>
    </w:p>
    <w:p>
      <w:pPr>
        <w:pStyle w:val="12"/>
        <w:rPr>
          <w:color w:val="auto"/>
          <w:highlight w:val="none"/>
        </w:rPr>
      </w:pPr>
      <w:r>
        <w:rPr>
          <w:b/>
          <w:color w:val="auto"/>
          <w:highlight w:val="none"/>
        </w:rPr>
        <w:t>1. Predávajúci:</w:t>
      </w:r>
      <w:r>
        <w:rPr>
          <w:b/>
          <w:color w:val="auto"/>
          <w:highlight w:val="none"/>
        </w:rPr>
        <w:tab/>
      </w:r>
      <w:r>
        <w:rPr>
          <w:b/>
          <w:color w:val="auto"/>
          <w:highlight w:val="none"/>
        </w:rPr>
        <w:t xml:space="preserve"> </w:t>
      </w:r>
    </w:p>
    <w:p>
      <w:pPr>
        <w:pStyle w:val="12"/>
        <w:rPr>
          <w:color w:val="auto"/>
          <w:highlight w:val="none"/>
        </w:rPr>
      </w:pPr>
      <w:r>
        <w:rPr>
          <w:color w:val="auto"/>
          <w:highlight w:val="none"/>
        </w:rPr>
        <w:t>So sídlom :</w:t>
      </w:r>
      <w:r>
        <w:rPr>
          <w:color w:val="auto"/>
          <w:highlight w:val="none"/>
        </w:rPr>
        <w:tab/>
      </w:r>
      <w:r>
        <w:rPr>
          <w:color w:val="auto"/>
          <w:highlight w:val="none"/>
        </w:rPr>
        <w:tab/>
      </w:r>
      <w:r>
        <w:rPr>
          <w:color w:val="auto"/>
          <w:highlight w:val="none"/>
        </w:rPr>
        <w:t xml:space="preserve"> </w:t>
      </w:r>
    </w:p>
    <w:p>
      <w:pPr>
        <w:pStyle w:val="12"/>
        <w:rPr>
          <w:color w:val="auto"/>
          <w:highlight w:val="none"/>
        </w:rPr>
      </w:pPr>
      <w:r>
        <w:rPr>
          <w:color w:val="auto"/>
          <w:highlight w:val="none"/>
        </w:rPr>
        <w:t xml:space="preserve">Štatutárny zástupca: </w:t>
      </w:r>
      <w:r>
        <w:rPr>
          <w:color w:val="auto"/>
          <w:highlight w:val="none"/>
        </w:rPr>
        <w:tab/>
      </w:r>
    </w:p>
    <w:p>
      <w:pPr>
        <w:pStyle w:val="12"/>
        <w:ind w:firstLine="708"/>
        <w:rPr>
          <w:color w:val="auto"/>
          <w:highlight w:val="none"/>
        </w:rPr>
      </w:pPr>
      <w:r>
        <w:rPr>
          <w:color w:val="auto"/>
          <w:highlight w:val="none"/>
        </w:rPr>
        <w:t xml:space="preserve">- Osoba oprávnená konať vo veciach technických: </w:t>
      </w:r>
      <w:r>
        <w:rPr>
          <w:color w:val="auto"/>
          <w:highlight w:val="none"/>
        </w:rPr>
        <w:tab/>
      </w:r>
    </w:p>
    <w:p>
      <w:pPr>
        <w:pStyle w:val="12"/>
        <w:rPr>
          <w:color w:val="auto"/>
          <w:highlight w:val="none"/>
        </w:rPr>
      </w:pPr>
      <w:r>
        <w:rPr>
          <w:color w:val="auto"/>
          <w:highlight w:val="none"/>
        </w:rPr>
        <w:t xml:space="preserve">IČO : </w:t>
      </w:r>
      <w:r>
        <w:rPr>
          <w:color w:val="auto"/>
          <w:highlight w:val="none"/>
        </w:rPr>
        <w:tab/>
      </w:r>
      <w:r>
        <w:rPr>
          <w:color w:val="auto"/>
          <w:highlight w:val="none"/>
        </w:rPr>
        <w:tab/>
      </w:r>
      <w:r>
        <w:rPr>
          <w:color w:val="auto"/>
          <w:highlight w:val="none"/>
        </w:rPr>
        <w:tab/>
      </w:r>
    </w:p>
    <w:p>
      <w:pPr>
        <w:pStyle w:val="12"/>
        <w:rPr>
          <w:color w:val="auto"/>
          <w:highlight w:val="none"/>
        </w:rPr>
      </w:pPr>
      <w:r>
        <w:rPr>
          <w:color w:val="auto"/>
          <w:highlight w:val="none"/>
        </w:rPr>
        <w:t>DIČ :</w:t>
      </w:r>
      <w:r>
        <w:rPr>
          <w:color w:val="auto"/>
          <w:highlight w:val="none"/>
        </w:rPr>
        <w:tab/>
      </w:r>
      <w:r>
        <w:rPr>
          <w:color w:val="auto"/>
          <w:highlight w:val="none"/>
        </w:rPr>
        <w:tab/>
      </w:r>
      <w:r>
        <w:rPr>
          <w:color w:val="auto"/>
          <w:highlight w:val="none"/>
        </w:rPr>
        <w:tab/>
      </w:r>
    </w:p>
    <w:p>
      <w:pPr>
        <w:pStyle w:val="12"/>
        <w:rPr>
          <w:color w:val="auto"/>
          <w:highlight w:val="none"/>
        </w:rPr>
      </w:pPr>
      <w:r>
        <w:rPr>
          <w:color w:val="auto"/>
          <w:highlight w:val="none"/>
        </w:rPr>
        <w:t xml:space="preserve">IČ DPH: </w:t>
      </w:r>
      <w:r>
        <w:rPr>
          <w:color w:val="auto"/>
          <w:highlight w:val="none"/>
        </w:rPr>
        <w:tab/>
      </w:r>
      <w:r>
        <w:rPr>
          <w:color w:val="auto"/>
          <w:highlight w:val="none"/>
        </w:rPr>
        <w:tab/>
      </w:r>
    </w:p>
    <w:p>
      <w:pPr>
        <w:pStyle w:val="12"/>
        <w:rPr>
          <w:color w:val="auto"/>
          <w:highlight w:val="none"/>
        </w:rPr>
      </w:pPr>
      <w:r>
        <w:rPr>
          <w:color w:val="auto"/>
          <w:highlight w:val="none"/>
        </w:rPr>
        <w:t>Bank. spojenie :</w:t>
      </w:r>
      <w:r>
        <w:rPr>
          <w:color w:val="auto"/>
          <w:highlight w:val="none"/>
        </w:rPr>
        <w:tab/>
      </w:r>
    </w:p>
    <w:p>
      <w:pPr>
        <w:pStyle w:val="12"/>
        <w:rPr>
          <w:color w:val="auto"/>
          <w:highlight w:val="none"/>
        </w:rPr>
      </w:pPr>
      <w:r>
        <w:rPr>
          <w:color w:val="auto"/>
          <w:highlight w:val="none"/>
        </w:rPr>
        <w:t>Číslo účtu IBAN:</w:t>
      </w:r>
      <w:r>
        <w:rPr>
          <w:color w:val="auto"/>
          <w:highlight w:val="none"/>
        </w:rPr>
        <w:tab/>
      </w:r>
    </w:p>
    <w:p>
      <w:pPr>
        <w:pStyle w:val="12"/>
        <w:rPr>
          <w:color w:val="auto"/>
          <w:highlight w:val="none"/>
        </w:rPr>
      </w:pPr>
      <w:r>
        <w:rPr>
          <w:color w:val="auto"/>
          <w:highlight w:val="none"/>
        </w:rPr>
        <w:t>Zapísaný v Obchodnom registri Okresného súdu ......., oddiel ......, vložka číslo: ....................</w:t>
      </w:r>
    </w:p>
    <w:p>
      <w:pPr>
        <w:pStyle w:val="12"/>
        <w:rPr>
          <w:color w:val="auto"/>
          <w:highlight w:val="none"/>
        </w:rPr>
      </w:pPr>
      <w:r>
        <w:rPr>
          <w:color w:val="auto"/>
          <w:highlight w:val="none"/>
        </w:rPr>
        <w:t xml:space="preserve">(ďalej iba „predávajúci“)  </w:t>
      </w:r>
    </w:p>
    <w:p>
      <w:pPr>
        <w:pStyle w:val="12"/>
        <w:jc w:val="center"/>
        <w:rPr>
          <w:color w:val="auto"/>
          <w:highlight w:val="none"/>
        </w:rPr>
      </w:pPr>
      <w:r>
        <w:rPr>
          <w:color w:val="auto"/>
          <w:highlight w:val="none"/>
        </w:rPr>
        <w:t>a</w:t>
      </w:r>
    </w:p>
    <w:p>
      <w:pPr>
        <w:pStyle w:val="12"/>
        <w:rPr>
          <w:color w:val="auto"/>
          <w:sz w:val="12"/>
          <w:szCs w:val="12"/>
          <w:highlight w:val="none"/>
        </w:rPr>
      </w:pPr>
    </w:p>
    <w:p>
      <w:pPr>
        <w:pStyle w:val="12"/>
        <w:rPr>
          <w:color w:val="auto"/>
          <w:highlight w:val="none"/>
        </w:rPr>
      </w:pPr>
      <w:r>
        <w:rPr>
          <w:b/>
          <w:color w:val="auto"/>
          <w:highlight w:val="none"/>
        </w:rPr>
        <w:t>2. Kupujúci :</w:t>
      </w:r>
      <w:r>
        <w:rPr>
          <w:b/>
          <w:color w:val="auto"/>
          <w:highlight w:val="none"/>
        </w:rPr>
        <w:tab/>
      </w:r>
      <w:r>
        <w:rPr>
          <w:b/>
          <w:color w:val="auto"/>
          <w:highlight w:val="none"/>
        </w:rPr>
        <w:tab/>
      </w:r>
      <w:r>
        <w:rPr>
          <w:b/>
          <w:bCs/>
          <w:color w:val="auto"/>
          <w:highlight w:val="none"/>
        </w:rPr>
        <w:t>Limas s.r.o. </w:t>
      </w:r>
    </w:p>
    <w:p>
      <w:pPr>
        <w:pStyle w:val="12"/>
        <w:rPr>
          <w:color w:val="auto"/>
          <w:highlight w:val="none"/>
        </w:rPr>
      </w:pPr>
      <w:r>
        <w:rPr>
          <w:color w:val="auto"/>
          <w:highlight w:val="none"/>
        </w:rPr>
        <w:t>So sídlom:</w:t>
      </w:r>
      <w:r>
        <w:rPr>
          <w:color w:val="auto"/>
          <w:highlight w:val="none"/>
        </w:rPr>
        <w:tab/>
      </w:r>
      <w:r>
        <w:rPr>
          <w:color w:val="auto"/>
          <w:highlight w:val="none"/>
        </w:rPr>
        <w:tab/>
      </w:r>
      <w:r>
        <w:rPr>
          <w:color w:val="auto"/>
          <w:highlight w:val="none"/>
        </w:rPr>
        <w:t xml:space="preserve">Obchodná ul. 1667 963 01 Krupina    </w:t>
      </w:r>
    </w:p>
    <w:p>
      <w:pPr>
        <w:pStyle w:val="12"/>
        <w:rPr>
          <w:color w:val="auto"/>
          <w:highlight w:val="none"/>
        </w:rPr>
      </w:pPr>
      <w:r>
        <w:rPr>
          <w:color w:val="auto"/>
          <w:highlight w:val="none"/>
        </w:rPr>
        <w:t xml:space="preserve">Štatutárny zástupca: </w:t>
      </w:r>
      <w:r>
        <w:rPr>
          <w:color w:val="auto"/>
          <w:highlight w:val="none"/>
        </w:rPr>
        <w:tab/>
      </w:r>
      <w:r>
        <w:rPr>
          <w:color w:val="auto"/>
          <w:highlight w:val="none"/>
        </w:rPr>
        <w:t>Stanislav Lihocký - konateľ spoločnosti</w:t>
      </w:r>
    </w:p>
    <w:p>
      <w:pPr>
        <w:pStyle w:val="12"/>
        <w:ind w:left="5664" w:hanging="4956"/>
        <w:rPr>
          <w:color w:val="auto"/>
          <w:highlight w:val="none"/>
        </w:rPr>
      </w:pPr>
      <w:r>
        <w:rPr>
          <w:color w:val="auto"/>
          <w:highlight w:val="none"/>
        </w:rPr>
        <w:t xml:space="preserve">- Osoba oprávnená konať vo veciach technických: </w:t>
      </w:r>
      <w:r>
        <w:rPr>
          <w:color w:val="auto"/>
          <w:highlight w:val="none"/>
        </w:rPr>
        <w:tab/>
      </w:r>
      <w:r>
        <w:rPr>
          <w:color w:val="auto"/>
          <w:highlight w:val="none"/>
        </w:rPr>
        <w:t xml:space="preserve">Stanislav Lihocký </w:t>
      </w:r>
    </w:p>
    <w:p>
      <w:pPr>
        <w:pStyle w:val="12"/>
        <w:rPr>
          <w:color w:val="auto"/>
          <w:highlight w:val="none"/>
        </w:rPr>
      </w:pPr>
      <w:r>
        <w:rPr>
          <w:color w:val="auto"/>
          <w:highlight w:val="none"/>
        </w:rPr>
        <w:t xml:space="preserve">IČO : </w:t>
      </w:r>
      <w:r>
        <w:rPr>
          <w:color w:val="auto"/>
          <w:highlight w:val="none"/>
        </w:rPr>
        <w:tab/>
      </w:r>
      <w:r>
        <w:rPr>
          <w:color w:val="auto"/>
          <w:highlight w:val="none"/>
        </w:rPr>
        <w:tab/>
      </w:r>
      <w:r>
        <w:rPr>
          <w:color w:val="auto"/>
          <w:highlight w:val="none"/>
          <w:lang w:val="en-US"/>
        </w:rPr>
        <w:tab/>
      </w:r>
      <w:r>
        <w:rPr>
          <w:highlight w:val="none"/>
        </w:rPr>
        <w:t>48294454</w:t>
      </w:r>
    </w:p>
    <w:p>
      <w:pPr>
        <w:pStyle w:val="12"/>
        <w:rPr>
          <w:color w:val="auto"/>
          <w:highlight w:val="none"/>
        </w:rPr>
      </w:pPr>
      <w:r>
        <w:rPr>
          <w:color w:val="auto"/>
          <w:highlight w:val="none"/>
        </w:rPr>
        <w:t>DIČ :</w:t>
      </w:r>
      <w:r>
        <w:rPr>
          <w:color w:val="auto"/>
          <w:highlight w:val="none"/>
        </w:rPr>
        <w:tab/>
      </w:r>
      <w:r>
        <w:rPr>
          <w:color w:val="auto"/>
          <w:highlight w:val="none"/>
        </w:rPr>
        <w:tab/>
      </w:r>
      <w:r>
        <w:rPr>
          <w:color w:val="auto"/>
          <w:highlight w:val="none"/>
        </w:rPr>
        <w:tab/>
      </w:r>
      <w:r>
        <w:rPr>
          <w:highlight w:val="none"/>
        </w:rPr>
        <w:t>2120132641</w:t>
      </w:r>
    </w:p>
    <w:p>
      <w:pPr>
        <w:pStyle w:val="12"/>
        <w:rPr>
          <w:color w:val="auto"/>
          <w:highlight w:val="none"/>
        </w:rPr>
      </w:pPr>
      <w:r>
        <w:rPr>
          <w:color w:val="auto"/>
          <w:highlight w:val="none"/>
        </w:rPr>
        <w:t xml:space="preserve">IČ DPH: </w:t>
      </w:r>
      <w:r>
        <w:rPr>
          <w:color w:val="auto"/>
          <w:highlight w:val="none"/>
        </w:rPr>
        <w:tab/>
      </w:r>
      <w:r>
        <w:rPr>
          <w:color w:val="auto"/>
          <w:highlight w:val="none"/>
        </w:rPr>
        <w:tab/>
      </w:r>
      <w:r>
        <w:rPr>
          <w:color w:val="auto"/>
          <w:highlight w:val="none"/>
        </w:rPr>
        <w:t>SK</w:t>
      </w:r>
      <w:r>
        <w:rPr>
          <w:highlight w:val="none"/>
        </w:rPr>
        <w:t>2120132641</w:t>
      </w:r>
    </w:p>
    <w:p>
      <w:pPr>
        <w:pStyle w:val="12"/>
        <w:rPr>
          <w:color w:val="auto"/>
          <w:highlight w:val="none"/>
        </w:rPr>
      </w:pPr>
      <w:r>
        <w:rPr>
          <w:color w:val="auto"/>
          <w:highlight w:val="none"/>
        </w:rPr>
        <w:t>Bank. spojenie :</w:t>
      </w:r>
      <w:r>
        <w:rPr>
          <w:color w:val="auto"/>
          <w:highlight w:val="none"/>
        </w:rPr>
        <w:tab/>
      </w:r>
      <w:r>
        <w:rPr>
          <w:color w:val="auto"/>
          <w:highlight w:val="none"/>
          <w:lang w:val="en-US"/>
        </w:rPr>
        <w:t>Slovens</w:t>
      </w:r>
      <w:r>
        <w:rPr>
          <w:color w:val="auto"/>
          <w:highlight w:val="none"/>
        </w:rPr>
        <w:t>ká</w:t>
      </w:r>
      <w:r>
        <w:rPr>
          <w:color w:val="auto"/>
          <w:highlight w:val="none"/>
          <w:lang w:val="en-US"/>
        </w:rPr>
        <w:t xml:space="preserve"> sporite</w:t>
      </w:r>
      <w:r>
        <w:rPr>
          <w:color w:val="auto"/>
          <w:highlight w:val="none"/>
        </w:rPr>
        <w:t>ľňa</w:t>
      </w:r>
      <w:r>
        <w:rPr>
          <w:color w:val="auto"/>
          <w:highlight w:val="none"/>
          <w:lang w:val="en-US"/>
        </w:rPr>
        <w:t>, a.s.</w:t>
      </w:r>
    </w:p>
    <w:p>
      <w:pPr>
        <w:pStyle w:val="12"/>
        <w:rPr>
          <w:color w:val="auto"/>
          <w:highlight w:val="none"/>
        </w:rPr>
      </w:pPr>
      <w:r>
        <w:rPr>
          <w:color w:val="auto"/>
          <w:highlight w:val="none"/>
        </w:rPr>
        <w:t>Číslo účtu IBAN:</w:t>
      </w:r>
      <w:r>
        <w:rPr>
          <w:color w:val="auto"/>
          <w:highlight w:val="none"/>
        </w:rPr>
        <w:tab/>
      </w:r>
      <w:r>
        <w:rPr>
          <w:color w:val="auto"/>
          <w:highlight w:val="none"/>
          <w:lang w:val="en-US"/>
        </w:rPr>
        <w:t>SK25</w:t>
      </w:r>
      <w:r>
        <w:rPr>
          <w:color w:val="auto"/>
          <w:highlight w:val="none"/>
        </w:rPr>
        <w:t xml:space="preserve"> </w:t>
      </w:r>
      <w:r>
        <w:rPr>
          <w:color w:val="auto"/>
          <w:highlight w:val="none"/>
          <w:lang w:val="en-US"/>
        </w:rPr>
        <w:t>0900</w:t>
      </w:r>
      <w:r>
        <w:rPr>
          <w:color w:val="auto"/>
          <w:highlight w:val="none"/>
        </w:rPr>
        <w:t xml:space="preserve"> </w:t>
      </w:r>
      <w:r>
        <w:rPr>
          <w:color w:val="auto"/>
          <w:highlight w:val="none"/>
          <w:lang w:val="en-US"/>
        </w:rPr>
        <w:t>0000</w:t>
      </w:r>
      <w:r>
        <w:rPr>
          <w:color w:val="auto"/>
          <w:highlight w:val="none"/>
        </w:rPr>
        <w:t xml:space="preserve"> </w:t>
      </w:r>
      <w:r>
        <w:rPr>
          <w:color w:val="auto"/>
          <w:highlight w:val="none"/>
          <w:lang w:val="en-US"/>
        </w:rPr>
        <w:t>0051</w:t>
      </w:r>
      <w:r>
        <w:rPr>
          <w:color w:val="auto"/>
          <w:highlight w:val="none"/>
        </w:rPr>
        <w:t xml:space="preserve"> </w:t>
      </w:r>
      <w:r>
        <w:rPr>
          <w:color w:val="auto"/>
          <w:highlight w:val="none"/>
          <w:lang w:val="en-US"/>
        </w:rPr>
        <w:t>6149</w:t>
      </w:r>
      <w:r>
        <w:rPr>
          <w:color w:val="auto"/>
          <w:highlight w:val="none"/>
        </w:rPr>
        <w:t xml:space="preserve"> </w:t>
      </w:r>
      <w:r>
        <w:rPr>
          <w:color w:val="auto"/>
          <w:highlight w:val="none"/>
          <w:lang w:val="en-US"/>
        </w:rPr>
        <w:t>4198</w:t>
      </w:r>
    </w:p>
    <w:p>
      <w:pPr>
        <w:pStyle w:val="12"/>
        <w:rPr>
          <w:color w:val="auto"/>
          <w:highlight w:val="none"/>
        </w:rPr>
      </w:pPr>
      <w:r>
        <w:rPr>
          <w:color w:val="auto"/>
          <w:highlight w:val="none"/>
        </w:rPr>
        <w:t>Zapísaný v Obchodnom registri Okresného súdu Banská Bystrica, oddiel Sro, vložka číslo: 28657/S</w:t>
      </w:r>
    </w:p>
    <w:p>
      <w:pPr>
        <w:pStyle w:val="12"/>
        <w:rPr>
          <w:color w:val="auto"/>
          <w:highlight w:val="none"/>
        </w:rPr>
      </w:pPr>
      <w:r>
        <w:rPr>
          <w:color w:val="auto"/>
          <w:highlight w:val="none"/>
        </w:rPr>
        <w:t>(ďalej iba „kupujúci“ a kupujúci a predávajúci spolu ako „zmluvné strany“)</w:t>
      </w:r>
    </w:p>
    <w:p>
      <w:pPr>
        <w:pStyle w:val="12"/>
        <w:rPr>
          <w:rFonts w:hint="default"/>
          <w:color w:val="auto"/>
          <w:highlight w:val="none"/>
          <w:lang w:val="sk-SK"/>
        </w:rPr>
      </w:pPr>
    </w:p>
    <w:p>
      <w:pPr>
        <w:pStyle w:val="12"/>
        <w:rPr>
          <w:color w:val="auto"/>
          <w:highlight w:val="none"/>
        </w:rPr>
      </w:pPr>
    </w:p>
    <w:p>
      <w:pPr>
        <w:pStyle w:val="12"/>
        <w:numPr>
          <w:ilvl w:val="0"/>
          <w:numId w:val="1"/>
        </w:numPr>
        <w:autoSpaceDE/>
        <w:autoSpaceDN/>
        <w:adjustRightInd/>
        <w:jc w:val="center"/>
        <w:rPr>
          <w:b/>
          <w:color w:val="auto"/>
          <w:sz w:val="28"/>
          <w:szCs w:val="28"/>
          <w:highlight w:val="none"/>
        </w:rPr>
      </w:pPr>
      <w:r>
        <w:rPr>
          <w:b/>
          <w:color w:val="auto"/>
          <w:sz w:val="28"/>
          <w:szCs w:val="28"/>
          <w:highlight w:val="none"/>
        </w:rPr>
        <w:t xml:space="preserve">Predmet zmluvy </w:t>
      </w:r>
    </w:p>
    <w:p>
      <w:pPr>
        <w:pStyle w:val="12"/>
        <w:autoSpaceDE/>
        <w:autoSpaceDN/>
        <w:adjustRightInd/>
        <w:jc w:val="both"/>
        <w:rPr>
          <w:color w:val="auto"/>
          <w:sz w:val="12"/>
          <w:szCs w:val="12"/>
          <w:highlight w:val="none"/>
        </w:rPr>
      </w:pPr>
    </w:p>
    <w:p>
      <w:pPr>
        <w:pStyle w:val="12"/>
        <w:numPr>
          <w:ilvl w:val="1"/>
          <w:numId w:val="1"/>
        </w:numPr>
        <w:tabs>
          <w:tab w:val="left" w:pos="567"/>
          <w:tab w:val="clear" w:pos="720"/>
        </w:tabs>
        <w:autoSpaceDE/>
        <w:autoSpaceDN/>
        <w:adjustRightInd/>
        <w:ind w:left="567" w:hanging="567"/>
        <w:jc w:val="both"/>
        <w:rPr>
          <w:color w:val="auto"/>
          <w:highlight w:val="none"/>
        </w:rPr>
      </w:pPr>
      <w:r>
        <w:rPr>
          <w:color w:val="auto"/>
          <w:highlight w:val="none"/>
        </w:rPr>
        <w:t xml:space="preserve">Predmetom zmluvy je záväzok predávajúceho dodať kupujúcemu tovar: </w:t>
      </w:r>
      <w:r>
        <w:rPr>
          <w:rFonts w:hint="default"/>
          <w:b/>
          <w:i/>
          <w:iCs/>
          <w:highlight w:val="none"/>
          <w:lang w:val="sk-SK"/>
        </w:rPr>
        <w:t>Cisterna</w:t>
      </w:r>
      <w:r>
        <w:rPr>
          <w:b/>
          <w:i/>
          <w:iCs/>
          <w:highlight w:val="none"/>
        </w:rPr>
        <w:t xml:space="preserve">  v počte 1 ks </w:t>
      </w:r>
      <w:r>
        <w:rPr>
          <w:highlight w:val="none"/>
        </w:rPr>
        <w:t xml:space="preserve">o technickej špecifikácii podľa Prílohy č. 1 zmluvy (ďalej len </w:t>
      </w:r>
      <w:r>
        <w:rPr>
          <w:color w:val="auto"/>
          <w:highlight w:val="none"/>
        </w:rPr>
        <w:t>„</w:t>
      </w:r>
      <w:r>
        <w:rPr>
          <w:highlight w:val="none"/>
        </w:rPr>
        <w:t>tovar</w:t>
      </w:r>
      <w:r>
        <w:rPr>
          <w:color w:val="auto"/>
          <w:highlight w:val="none"/>
        </w:rPr>
        <w:t>“</w:t>
      </w:r>
      <w:r>
        <w:rPr>
          <w:highlight w:val="none"/>
        </w:rPr>
        <w:t xml:space="preserve"> alebo </w:t>
      </w:r>
      <w:r>
        <w:rPr>
          <w:color w:val="auto"/>
          <w:highlight w:val="none"/>
        </w:rPr>
        <w:t>„</w:t>
      </w:r>
      <w:r>
        <w:rPr>
          <w:highlight w:val="none"/>
        </w:rPr>
        <w:t>predmet kúpy</w:t>
      </w:r>
      <w:r>
        <w:rPr>
          <w:color w:val="auto"/>
          <w:highlight w:val="none"/>
        </w:rPr>
        <w:t>“</w:t>
      </w:r>
      <w:r>
        <w:rPr>
          <w:highlight w:val="none"/>
        </w:rPr>
        <w:t xml:space="preserve">) </w:t>
      </w:r>
      <w:r>
        <w:rPr>
          <w:color w:val="auto"/>
          <w:highlight w:val="none"/>
        </w:rPr>
        <w:t>a previesť na kupujúceho vlastnícke právo k dodanému tovaru.</w:t>
      </w:r>
    </w:p>
    <w:p>
      <w:pPr>
        <w:pStyle w:val="12"/>
        <w:numPr>
          <w:ilvl w:val="1"/>
          <w:numId w:val="1"/>
        </w:numPr>
        <w:tabs>
          <w:tab w:val="left" w:pos="567"/>
          <w:tab w:val="clear" w:pos="720"/>
        </w:tabs>
        <w:autoSpaceDE/>
        <w:autoSpaceDN/>
        <w:adjustRightInd/>
        <w:ind w:left="567" w:hanging="567"/>
        <w:jc w:val="both"/>
        <w:rPr>
          <w:color w:val="auto"/>
          <w:highlight w:val="none"/>
        </w:rPr>
      </w:pPr>
      <w:r>
        <w:rPr>
          <w:highlight w:val="none"/>
        </w:rPr>
        <w:t xml:space="preserve">Detailná špecifikácia tovaru (jeho ostatné technické alebo iné parametre) sa nachádzajú v Cenovej ponuke </w:t>
      </w:r>
      <w:r>
        <w:rPr>
          <w:snapToGrid w:val="0"/>
          <w:highlight w:val="none"/>
        </w:rPr>
        <w:t xml:space="preserve">na dodanie predmetu kúpy </w:t>
      </w:r>
      <w:r>
        <w:rPr>
          <w:highlight w:val="none"/>
        </w:rPr>
        <w:t>zo dňa ..................... (ďalej tiež len „cenová ponuka“), ktorá tvorí neoddeliteľnú súčasť zmluvy ako jej Príloha č. 1 a v súťažných podkladoch k obstaraniu dodania tovaru.</w:t>
      </w:r>
    </w:p>
    <w:p>
      <w:pPr>
        <w:pStyle w:val="12"/>
        <w:numPr>
          <w:ilvl w:val="1"/>
          <w:numId w:val="1"/>
        </w:numPr>
        <w:tabs>
          <w:tab w:val="left" w:pos="567"/>
          <w:tab w:val="clear" w:pos="720"/>
        </w:tabs>
        <w:autoSpaceDE/>
        <w:autoSpaceDN/>
        <w:adjustRightInd/>
        <w:ind w:left="567" w:hanging="567"/>
        <w:jc w:val="both"/>
        <w:rPr>
          <w:color w:val="auto"/>
          <w:highlight w:val="none"/>
        </w:rPr>
      </w:pPr>
      <w:r>
        <w:rPr>
          <w:color w:val="auto"/>
          <w:highlight w:val="none"/>
        </w:rPr>
        <w:t>Kupujúci sa zaväzuje, že prevezme tovar spĺňajúci podmienky jeho technickej alebo inej špecifikácie uvedené v Prílohe č. 1 zmluvy za podmienok stanovených v zmluve a zaplatí za dodanie tovaru kúpnu cenu dohodnutú zmluvou.</w:t>
      </w:r>
    </w:p>
    <w:p>
      <w:pPr>
        <w:pStyle w:val="12"/>
        <w:numPr>
          <w:ilvl w:val="1"/>
          <w:numId w:val="1"/>
        </w:numPr>
        <w:tabs>
          <w:tab w:val="left" w:pos="567"/>
          <w:tab w:val="clear" w:pos="720"/>
        </w:tabs>
        <w:autoSpaceDE/>
        <w:autoSpaceDN/>
        <w:adjustRightInd/>
        <w:ind w:left="567" w:hanging="567"/>
        <w:jc w:val="both"/>
        <w:rPr>
          <w:color w:val="auto"/>
          <w:highlight w:val="none"/>
        </w:rPr>
      </w:pPr>
      <w:r>
        <w:rPr>
          <w:color w:val="auto"/>
          <w:highlight w:val="none"/>
        </w:rPr>
        <w:t>Predávajúci sa rovnako zaväzuje bezplatne vykonať zaškolenie obsluhy kupujúceho po predchádzajúcej dohode oboch zmluvných strán o termíne školenia</w:t>
      </w:r>
      <w:r>
        <w:rPr>
          <w:highlight w:val="none"/>
        </w:rPr>
        <w:t xml:space="preserve">. </w:t>
      </w:r>
    </w:p>
    <w:p>
      <w:pPr>
        <w:pStyle w:val="12"/>
        <w:jc w:val="both"/>
        <w:rPr>
          <w:color w:val="auto"/>
          <w:sz w:val="12"/>
          <w:szCs w:val="12"/>
          <w:highlight w:val="none"/>
        </w:rPr>
      </w:pPr>
    </w:p>
    <w:p>
      <w:pPr>
        <w:pStyle w:val="12"/>
        <w:numPr>
          <w:ilvl w:val="0"/>
          <w:numId w:val="0"/>
        </w:numPr>
        <w:autoSpaceDE/>
        <w:autoSpaceDN/>
        <w:adjustRightInd/>
        <w:ind w:left="360" w:leftChars="0"/>
        <w:jc w:val="both"/>
        <w:rPr>
          <w:b/>
          <w:color w:val="auto"/>
          <w:sz w:val="28"/>
          <w:szCs w:val="28"/>
          <w:highlight w:val="none"/>
        </w:rPr>
      </w:pPr>
    </w:p>
    <w:p>
      <w:pPr>
        <w:pStyle w:val="12"/>
        <w:numPr>
          <w:ilvl w:val="0"/>
          <w:numId w:val="1"/>
        </w:numPr>
        <w:autoSpaceDE/>
        <w:autoSpaceDN/>
        <w:adjustRightInd/>
        <w:jc w:val="center"/>
        <w:rPr>
          <w:b/>
          <w:color w:val="auto"/>
          <w:sz w:val="28"/>
          <w:szCs w:val="28"/>
          <w:highlight w:val="none"/>
        </w:rPr>
      </w:pPr>
      <w:r>
        <w:rPr>
          <w:b/>
          <w:color w:val="auto"/>
          <w:sz w:val="28"/>
          <w:szCs w:val="28"/>
          <w:highlight w:val="none"/>
        </w:rPr>
        <w:t>Miesto a spôsob dodania tovaru</w:t>
      </w:r>
    </w:p>
    <w:p>
      <w:pPr>
        <w:pStyle w:val="12"/>
        <w:ind w:left="360"/>
        <w:rPr>
          <w:b/>
          <w:color w:val="auto"/>
          <w:sz w:val="12"/>
          <w:szCs w:val="12"/>
          <w:highlight w:val="none"/>
        </w:rPr>
      </w:pPr>
    </w:p>
    <w:p>
      <w:pPr>
        <w:pStyle w:val="12"/>
        <w:numPr>
          <w:ilvl w:val="1"/>
          <w:numId w:val="1"/>
        </w:numPr>
        <w:tabs>
          <w:tab w:val="left" w:pos="567"/>
          <w:tab w:val="clear" w:pos="720"/>
        </w:tabs>
        <w:autoSpaceDE/>
        <w:autoSpaceDN/>
        <w:adjustRightInd/>
        <w:ind w:left="567" w:hanging="567"/>
        <w:jc w:val="both"/>
        <w:rPr>
          <w:color w:val="auto"/>
          <w:highlight w:val="none"/>
        </w:rPr>
      </w:pPr>
      <w:r>
        <w:rPr>
          <w:color w:val="auto"/>
          <w:highlight w:val="none"/>
        </w:rPr>
        <w:t xml:space="preserve">Miestom dodania tovaru je </w:t>
      </w:r>
      <w:r>
        <w:rPr>
          <w:rFonts w:hint="default"/>
          <w:color w:val="auto"/>
          <w:highlight w:val="none"/>
          <w:lang w:val="sk-SK"/>
        </w:rPr>
        <w:t>sídlo kupujúceho</w:t>
      </w:r>
      <w:r>
        <w:rPr>
          <w:color w:val="auto"/>
          <w:highlight w:val="none"/>
        </w:rPr>
        <w:t>, na ktorom si kupujúci tovar prevezme. O presnom termíne dodania tovaru je predávajúci povinný telefonicky informovať zástupcu kupujúceho povereného na prevzatie tovaru od predávajúceho, a to minimálne 2 pracovné dni pred určeným termínom dodania tovaru. Prevzatie tovaru vykoná konateľ spoločnosti, Stanislav Lihocký.</w:t>
      </w:r>
    </w:p>
    <w:p>
      <w:pPr>
        <w:pStyle w:val="12"/>
        <w:numPr>
          <w:ilvl w:val="1"/>
          <w:numId w:val="1"/>
        </w:numPr>
        <w:tabs>
          <w:tab w:val="left" w:pos="567"/>
          <w:tab w:val="clear" w:pos="720"/>
        </w:tabs>
        <w:autoSpaceDE/>
        <w:autoSpaceDN/>
        <w:adjustRightInd/>
        <w:ind w:left="567" w:hanging="567"/>
        <w:jc w:val="both"/>
        <w:rPr>
          <w:color w:val="auto"/>
          <w:highlight w:val="none"/>
        </w:rPr>
      </w:pPr>
      <w:r>
        <w:rPr>
          <w:color w:val="auto"/>
          <w:highlight w:val="none"/>
        </w:rPr>
        <w:t>Predávajúci splní svoju povinnosť dodať tovar kupujúcemu okamihom podpisu dodacieho listu zástupcom</w:t>
      </w:r>
      <w:bookmarkStart w:id="0" w:name="_GoBack"/>
      <w:bookmarkEnd w:id="0"/>
      <w:r>
        <w:rPr>
          <w:color w:val="auto"/>
          <w:highlight w:val="none"/>
        </w:rPr>
        <w:t xml:space="preserve"> kupujúceho, ktorý je poverený na prevzatie tovaru. Uvedeným podpisom zároveň kupujúci tovar preberá a na kupujúceho prechádza nebezpečenstvo škody na dodanom tovare. Podpis dodacieho listu sa vykoná až po zaškolení obsluhy kupujúceho s jeho užívaním a údržbou.</w:t>
      </w:r>
    </w:p>
    <w:p>
      <w:pPr>
        <w:pStyle w:val="12"/>
        <w:numPr>
          <w:ilvl w:val="1"/>
          <w:numId w:val="1"/>
        </w:numPr>
        <w:tabs>
          <w:tab w:val="left" w:pos="567"/>
          <w:tab w:val="clear" w:pos="720"/>
        </w:tabs>
        <w:autoSpaceDE/>
        <w:autoSpaceDN/>
        <w:adjustRightInd/>
        <w:ind w:left="567" w:hanging="567"/>
        <w:jc w:val="both"/>
        <w:rPr>
          <w:highlight w:val="none"/>
        </w:rPr>
      </w:pPr>
      <w:r>
        <w:rPr>
          <w:color w:val="auto"/>
          <w:highlight w:val="none"/>
        </w:rPr>
        <w:t xml:space="preserve">Spolu s tovarom bude predávajúcim dodaný aj dodací list, záručný list, návod na obsluhu a údržbu a iné doklady potrebné na riadne prevzatie a riadne užívanie tovaru alebo na uplatnenie prípadnej reklamácie zakúpeného tovaru kupujúcim, prípadne tie listiny, ktoré sú špecifikované v cenovej ponuke (a v tam uvedenom rozsahu). </w:t>
      </w:r>
    </w:p>
    <w:p>
      <w:pPr>
        <w:pStyle w:val="12"/>
        <w:numPr>
          <w:ilvl w:val="0"/>
          <w:numId w:val="0"/>
        </w:numPr>
        <w:tabs>
          <w:tab w:val="left" w:pos="567"/>
        </w:tabs>
        <w:autoSpaceDE/>
        <w:autoSpaceDN/>
        <w:adjustRightInd/>
        <w:ind w:leftChars="0"/>
        <w:jc w:val="both"/>
        <w:rPr>
          <w:highlight w:val="none"/>
        </w:rPr>
      </w:pPr>
    </w:p>
    <w:p>
      <w:pPr>
        <w:pStyle w:val="12"/>
        <w:autoSpaceDE/>
        <w:autoSpaceDN/>
        <w:adjustRightInd/>
        <w:ind w:left="567"/>
        <w:jc w:val="both"/>
        <w:rPr>
          <w:sz w:val="12"/>
          <w:szCs w:val="12"/>
          <w:highlight w:val="none"/>
        </w:rPr>
      </w:pPr>
    </w:p>
    <w:p>
      <w:pPr>
        <w:pStyle w:val="12"/>
        <w:numPr>
          <w:ilvl w:val="0"/>
          <w:numId w:val="1"/>
        </w:numPr>
        <w:autoSpaceDE/>
        <w:autoSpaceDN/>
        <w:adjustRightInd/>
        <w:jc w:val="center"/>
        <w:rPr>
          <w:b/>
          <w:color w:val="auto"/>
          <w:sz w:val="28"/>
          <w:szCs w:val="28"/>
          <w:highlight w:val="none"/>
        </w:rPr>
      </w:pPr>
      <w:r>
        <w:rPr>
          <w:b/>
          <w:color w:val="auto"/>
          <w:sz w:val="28"/>
          <w:szCs w:val="28"/>
          <w:highlight w:val="none"/>
        </w:rPr>
        <w:t>Kúpna cena</w:t>
      </w:r>
    </w:p>
    <w:p>
      <w:pPr>
        <w:pStyle w:val="12"/>
        <w:ind w:left="360"/>
        <w:rPr>
          <w:b/>
          <w:color w:val="auto"/>
          <w:sz w:val="12"/>
          <w:szCs w:val="12"/>
          <w:highlight w:val="none"/>
        </w:rPr>
      </w:pPr>
    </w:p>
    <w:p>
      <w:pPr>
        <w:pStyle w:val="12"/>
        <w:ind w:left="567" w:hanging="567"/>
        <w:jc w:val="both"/>
        <w:rPr>
          <w:bCs/>
          <w:color w:val="auto"/>
          <w:highlight w:val="none"/>
        </w:rPr>
      </w:pPr>
      <w:r>
        <w:rPr>
          <w:color w:val="auto"/>
          <w:highlight w:val="none"/>
        </w:rPr>
        <w:t>4.1.</w:t>
      </w:r>
      <w:r>
        <w:rPr>
          <w:bCs/>
          <w:color w:val="auto"/>
          <w:highlight w:val="none"/>
        </w:rPr>
        <w:tab/>
      </w:r>
      <w:r>
        <w:rPr>
          <w:bCs/>
          <w:color w:val="auto"/>
          <w:highlight w:val="none"/>
        </w:rPr>
        <w:t xml:space="preserve">Kúpna cena za dodaný tovar v rozsahu podľa článku 2 zmluvy je stanovená dohodou zmluvných strán v zmysle zákona č. 18/1996 Z. z. o cenách v platnom znení a vyhlášky MF SR č. 87/1996 Z. z. </w:t>
      </w:r>
      <w:r>
        <w:rPr>
          <w:highlight w:val="none"/>
        </w:rPr>
        <w:t xml:space="preserve">ktorou sa vykonáva zákon č. 18/1996 Z. z. o cenách, </w:t>
      </w:r>
      <w:r>
        <w:rPr>
          <w:bCs/>
          <w:color w:val="auto"/>
          <w:highlight w:val="none"/>
        </w:rPr>
        <w:t>ako cena konečná, vo výške:</w:t>
      </w:r>
    </w:p>
    <w:p>
      <w:pPr>
        <w:pStyle w:val="12"/>
        <w:ind w:left="567" w:hanging="567"/>
        <w:jc w:val="both"/>
        <w:rPr>
          <w:bCs/>
          <w:color w:val="auto"/>
          <w:sz w:val="12"/>
          <w:szCs w:val="12"/>
          <w:highlight w:val="none"/>
        </w:rPr>
      </w:pPr>
    </w:p>
    <w:p>
      <w:pPr>
        <w:pStyle w:val="12"/>
        <w:rPr>
          <w:b/>
          <w:bCs/>
          <w:color w:val="auto"/>
          <w:highlight w:val="none"/>
        </w:rPr>
      </w:pPr>
      <w:r>
        <w:rPr>
          <w:b/>
          <w:bCs/>
          <w:color w:val="auto"/>
          <w:highlight w:val="none"/>
        </w:rPr>
        <w:tab/>
      </w:r>
      <w:r>
        <w:rPr>
          <w:b/>
          <w:bCs/>
          <w:color w:val="auto"/>
          <w:highlight w:val="none"/>
        </w:rPr>
        <w:t>Celková kúpna cena tovaru spolu bez DPH:</w:t>
      </w:r>
      <w:r>
        <w:rPr>
          <w:b/>
          <w:bCs/>
          <w:color w:val="auto"/>
          <w:highlight w:val="none"/>
        </w:rPr>
        <w:tab/>
      </w:r>
      <w:r>
        <w:rPr>
          <w:b/>
          <w:bCs/>
          <w:color w:val="auto"/>
          <w:highlight w:val="none"/>
        </w:rPr>
        <w:t xml:space="preserve">  </w:t>
      </w:r>
      <w:r>
        <w:rPr>
          <w:b/>
          <w:bCs/>
          <w:color w:val="auto"/>
          <w:highlight w:val="none"/>
        </w:rPr>
        <w:tab/>
      </w:r>
      <w:r>
        <w:rPr>
          <w:b/>
          <w:bCs/>
          <w:color w:val="auto"/>
          <w:highlight w:val="none"/>
        </w:rPr>
        <w:tab/>
      </w:r>
      <w:r>
        <w:rPr>
          <w:b/>
          <w:bCs/>
          <w:color w:val="auto"/>
          <w:highlight w:val="none"/>
        </w:rPr>
        <w:t xml:space="preserve"> €</w:t>
      </w:r>
    </w:p>
    <w:p>
      <w:pPr>
        <w:pStyle w:val="12"/>
        <w:rPr>
          <w:color w:val="auto"/>
          <w:sz w:val="16"/>
          <w:szCs w:val="16"/>
          <w:highlight w:val="none"/>
        </w:rPr>
      </w:pPr>
    </w:p>
    <w:p>
      <w:pPr>
        <w:pStyle w:val="12"/>
        <w:rPr>
          <w:bCs/>
          <w:color w:val="auto"/>
          <w:highlight w:val="none"/>
        </w:rPr>
      </w:pPr>
      <w:r>
        <w:rPr>
          <w:bCs/>
          <w:color w:val="auto"/>
          <w:highlight w:val="none"/>
        </w:rPr>
        <w:tab/>
      </w:r>
      <w:r>
        <w:rPr>
          <w:bCs/>
          <w:color w:val="auto"/>
          <w:highlight w:val="none"/>
        </w:rPr>
        <w:t xml:space="preserve">DPH 20 % : </w:t>
      </w:r>
      <w:r>
        <w:rPr>
          <w:bCs/>
          <w:color w:val="auto"/>
          <w:highlight w:val="none"/>
        </w:rPr>
        <w:tab/>
      </w:r>
      <w:r>
        <w:rPr>
          <w:bCs/>
          <w:color w:val="auto"/>
          <w:highlight w:val="none"/>
        </w:rPr>
        <w:tab/>
      </w:r>
      <w:r>
        <w:rPr>
          <w:bCs/>
          <w:color w:val="auto"/>
          <w:highlight w:val="none"/>
        </w:rPr>
        <w:tab/>
      </w:r>
      <w:r>
        <w:rPr>
          <w:bCs/>
          <w:color w:val="auto"/>
          <w:highlight w:val="none"/>
        </w:rPr>
        <w:tab/>
      </w:r>
      <w:r>
        <w:rPr>
          <w:bCs/>
          <w:color w:val="auto"/>
          <w:highlight w:val="none"/>
        </w:rPr>
        <w:tab/>
      </w:r>
      <w:r>
        <w:rPr>
          <w:bCs/>
          <w:color w:val="auto"/>
          <w:highlight w:val="none"/>
        </w:rPr>
        <w:tab/>
      </w:r>
      <w:r>
        <w:rPr>
          <w:bCs/>
          <w:color w:val="auto"/>
          <w:highlight w:val="none"/>
        </w:rPr>
        <w:t xml:space="preserve">  </w:t>
      </w:r>
      <w:r>
        <w:rPr>
          <w:bCs/>
          <w:color w:val="auto"/>
          <w:highlight w:val="none"/>
        </w:rPr>
        <w:tab/>
      </w:r>
      <w:r>
        <w:rPr>
          <w:bCs/>
          <w:color w:val="auto"/>
          <w:highlight w:val="none"/>
        </w:rPr>
        <w:tab/>
      </w:r>
      <w:r>
        <w:rPr>
          <w:b/>
          <w:bCs/>
          <w:color w:val="auto"/>
          <w:highlight w:val="none"/>
        </w:rPr>
        <w:t xml:space="preserve"> </w:t>
      </w:r>
      <w:r>
        <w:rPr>
          <w:bCs/>
          <w:color w:val="auto"/>
          <w:highlight w:val="none"/>
        </w:rPr>
        <w:t xml:space="preserve">€        </w:t>
      </w:r>
    </w:p>
    <w:p>
      <w:pPr>
        <w:pStyle w:val="12"/>
        <w:rPr>
          <w:bCs/>
          <w:color w:val="auto"/>
          <w:sz w:val="16"/>
          <w:szCs w:val="16"/>
          <w:highlight w:val="none"/>
        </w:rPr>
      </w:pPr>
    </w:p>
    <w:p>
      <w:pPr>
        <w:pStyle w:val="12"/>
        <w:tabs>
          <w:tab w:val="left" w:pos="567"/>
        </w:tabs>
        <w:rPr>
          <w:b/>
          <w:bCs/>
          <w:color w:val="auto"/>
          <w:highlight w:val="none"/>
        </w:rPr>
      </w:pPr>
      <w:r>
        <w:rPr>
          <w:b/>
          <w:bCs/>
          <w:color w:val="auto"/>
          <w:highlight w:val="none"/>
        </w:rPr>
        <w:tab/>
      </w:r>
      <w:r>
        <w:rPr>
          <w:b/>
          <w:bCs/>
          <w:color w:val="auto"/>
          <w:highlight w:val="none"/>
        </w:rPr>
        <w:tab/>
      </w:r>
      <w:r>
        <w:rPr>
          <w:b/>
          <w:bCs/>
          <w:color w:val="auto"/>
          <w:highlight w:val="none"/>
        </w:rPr>
        <w:t>Celková kúpna cena tovaru spolu s DPH :</w:t>
      </w:r>
      <w:r>
        <w:rPr>
          <w:b/>
          <w:bCs/>
          <w:color w:val="auto"/>
          <w:highlight w:val="none"/>
        </w:rPr>
        <w:tab/>
      </w:r>
      <w:r>
        <w:rPr>
          <w:b/>
          <w:bCs/>
          <w:color w:val="auto"/>
          <w:highlight w:val="none"/>
        </w:rPr>
        <w:tab/>
      </w:r>
      <w:r>
        <w:rPr>
          <w:b/>
          <w:bCs/>
          <w:color w:val="auto"/>
          <w:highlight w:val="none"/>
        </w:rPr>
        <w:tab/>
      </w:r>
      <w:r>
        <w:rPr>
          <w:b/>
          <w:bCs/>
          <w:color w:val="auto"/>
          <w:highlight w:val="none"/>
        </w:rPr>
        <w:t xml:space="preserve"> €    </w:t>
      </w:r>
    </w:p>
    <w:p>
      <w:pPr>
        <w:pStyle w:val="12"/>
        <w:tabs>
          <w:tab w:val="left" w:pos="567"/>
        </w:tabs>
        <w:rPr>
          <w:bCs/>
          <w:color w:val="auto"/>
          <w:sz w:val="12"/>
          <w:szCs w:val="12"/>
          <w:highlight w:val="none"/>
        </w:rPr>
      </w:pPr>
    </w:p>
    <w:p>
      <w:pPr>
        <w:pStyle w:val="12"/>
        <w:tabs>
          <w:tab w:val="left" w:pos="567"/>
        </w:tabs>
        <w:rPr>
          <w:bCs/>
          <w:color w:val="auto"/>
          <w:highlight w:val="none"/>
        </w:rPr>
      </w:pPr>
      <w:r>
        <w:rPr>
          <w:bCs/>
          <w:color w:val="auto"/>
          <w:highlight w:val="none"/>
        </w:rPr>
        <w:tab/>
      </w:r>
      <w:r>
        <w:rPr>
          <w:bCs/>
          <w:color w:val="auto"/>
          <w:highlight w:val="none"/>
        </w:rPr>
        <w:tab/>
      </w:r>
      <w:r>
        <w:rPr>
          <w:bCs/>
          <w:color w:val="auto"/>
          <w:highlight w:val="none"/>
        </w:rPr>
        <w:t>Slovom: ............................................. Eur,...... centov</w:t>
      </w:r>
    </w:p>
    <w:p>
      <w:pPr>
        <w:pStyle w:val="12"/>
        <w:autoSpaceDE/>
        <w:autoSpaceDN/>
        <w:adjustRightInd/>
        <w:ind w:left="567"/>
        <w:jc w:val="both"/>
        <w:rPr>
          <w:bCs/>
          <w:color w:val="auto"/>
          <w:sz w:val="12"/>
          <w:szCs w:val="12"/>
          <w:highlight w:val="none"/>
        </w:rPr>
      </w:pPr>
    </w:p>
    <w:p>
      <w:pPr>
        <w:pStyle w:val="13"/>
        <w:numPr>
          <w:ilvl w:val="1"/>
          <w:numId w:val="2"/>
        </w:numPr>
        <w:tabs>
          <w:tab w:val="left" w:pos="567"/>
          <w:tab w:val="clear" w:pos="360"/>
        </w:tabs>
        <w:ind w:left="546" w:hanging="546"/>
        <w:jc w:val="both"/>
        <w:rPr>
          <w:highlight w:val="none"/>
        </w:rPr>
      </w:pPr>
      <w:r>
        <w:rPr>
          <w:bCs/>
          <w:highlight w:val="none"/>
        </w:rPr>
        <w:t>Ku celkovej kúpnej cene tovaru spolu je pripočítaná DPH podľa právnych predpisov</w:t>
      </w:r>
      <w:r>
        <w:rPr>
          <w:highlight w:val="none"/>
        </w:rPr>
        <w:t xml:space="preserve"> </w:t>
      </w:r>
      <w:r>
        <w:rPr>
          <w:bCs/>
          <w:highlight w:val="none"/>
        </w:rPr>
        <w:t>platných v čase uskutočnenia zdaniteľného plnenia.</w:t>
      </w:r>
    </w:p>
    <w:p>
      <w:pPr>
        <w:pStyle w:val="13"/>
        <w:numPr>
          <w:ilvl w:val="1"/>
          <w:numId w:val="2"/>
        </w:numPr>
        <w:tabs>
          <w:tab w:val="left" w:pos="567"/>
          <w:tab w:val="clear" w:pos="360"/>
        </w:tabs>
        <w:jc w:val="both"/>
        <w:rPr>
          <w:highlight w:val="none"/>
        </w:rPr>
      </w:pPr>
      <w:r>
        <w:rPr>
          <w:highlight w:val="none"/>
        </w:rPr>
        <w:tab/>
      </w:r>
      <w:r>
        <w:rPr>
          <w:highlight w:val="none"/>
        </w:rPr>
        <w:t xml:space="preserve">Predávajúci vyhlasuje, že ku dňu podpisu zmluvy nie je dlžníkom správcu dane a </w:t>
      </w:r>
      <w:r>
        <w:rPr>
          <w:highlight w:val="none"/>
        </w:rPr>
        <w:tab/>
      </w:r>
      <w:r>
        <w:rPr>
          <w:highlight w:val="none"/>
        </w:rPr>
        <w:t xml:space="preserve">neexistujú dôvody, na základe ktorých by sa kupujúci mal stať ručiteľom za daň podľa § </w:t>
      </w:r>
      <w:r>
        <w:rPr>
          <w:highlight w:val="none"/>
        </w:rPr>
        <w:tab/>
      </w:r>
      <w:r>
        <w:rPr>
          <w:highlight w:val="none"/>
        </w:rPr>
        <w:t xml:space="preserve">69 ods. 14 v spojení s § 69b zákona č. 222/2004 Z.z. o dani z pridanej hodnoty v.z.n.p. </w:t>
      </w:r>
      <w:r>
        <w:rPr>
          <w:highlight w:val="none"/>
        </w:rPr>
        <w:tab/>
      </w:r>
      <w:r>
        <w:rPr>
          <w:highlight w:val="none"/>
        </w:rPr>
        <w:t xml:space="preserve">(ďalej len „zákon o DPH“) a nie je zaradený do zoznamu platiteľov DPH, u ktorých nastali </w:t>
      </w:r>
      <w:r>
        <w:rPr>
          <w:highlight w:val="none"/>
        </w:rPr>
        <w:tab/>
      </w:r>
      <w:r>
        <w:rPr>
          <w:highlight w:val="none"/>
        </w:rPr>
        <w:t xml:space="preserve">dôvody na zrušenie registrácie pre DPH, vedenom Finančným riaditeľstvom SR a </w:t>
      </w:r>
      <w:r>
        <w:rPr>
          <w:highlight w:val="none"/>
        </w:rPr>
        <w:tab/>
      </w:r>
      <w:r>
        <w:rPr>
          <w:highlight w:val="none"/>
        </w:rPr>
        <w:t xml:space="preserve">zverejnenom na portáli Finančnej správy Slovenskej republiky. Predávajúci ďalej </w:t>
      </w:r>
      <w:r>
        <w:rPr>
          <w:highlight w:val="none"/>
        </w:rPr>
        <w:tab/>
      </w:r>
      <w:r>
        <w:rPr>
          <w:highlight w:val="none"/>
        </w:rPr>
        <w:t xml:space="preserve">vyhlasuje, že bezodkladne po tom, ako bude mať vedomosť, že je zaradený do zoznamu </w:t>
      </w:r>
      <w:r>
        <w:rPr>
          <w:highlight w:val="none"/>
        </w:rPr>
        <w:tab/>
      </w:r>
      <w:r>
        <w:rPr>
          <w:highlight w:val="none"/>
        </w:rPr>
        <w:t xml:space="preserve">platiteľov DPH, u ktorých nastali dôvody na zrušenie registrácie pre DPH, túto skutočnosť </w:t>
      </w:r>
      <w:r>
        <w:rPr>
          <w:highlight w:val="none"/>
        </w:rPr>
        <w:tab/>
      </w:r>
      <w:r>
        <w:rPr>
          <w:highlight w:val="none"/>
        </w:rPr>
        <w:t xml:space="preserve">písomne oznámi kupujúcemu. </w:t>
      </w:r>
    </w:p>
    <w:p>
      <w:pPr>
        <w:pStyle w:val="13"/>
        <w:numPr>
          <w:ilvl w:val="1"/>
          <w:numId w:val="2"/>
        </w:numPr>
        <w:tabs>
          <w:tab w:val="left" w:pos="567"/>
          <w:tab w:val="clear" w:pos="360"/>
        </w:tabs>
        <w:jc w:val="both"/>
        <w:rPr>
          <w:highlight w:val="none"/>
        </w:rPr>
      </w:pPr>
      <w:r>
        <w:rPr>
          <w:highlight w:val="none"/>
        </w:rPr>
        <w:tab/>
      </w:r>
      <w:r>
        <w:rPr>
          <w:highlight w:val="none"/>
        </w:rPr>
        <w:t xml:space="preserve">Kupujúci je oprávnený zadržať z fakturovanej celkovej kúpnej ceny tovaru spolu sumu </w:t>
      </w:r>
      <w:r>
        <w:rPr>
          <w:highlight w:val="none"/>
        </w:rPr>
        <w:tab/>
      </w:r>
      <w:r>
        <w:rPr>
          <w:highlight w:val="none"/>
        </w:rPr>
        <w:t xml:space="preserve">zodpovedajúcu </w:t>
      </w:r>
      <w:r>
        <w:rPr>
          <w:highlight w:val="none"/>
        </w:rPr>
        <w:tab/>
      </w:r>
      <w:r>
        <w:rPr>
          <w:highlight w:val="none"/>
        </w:rPr>
        <w:t xml:space="preserve">sume DPH uvedenej na faktúre vystavenej predávajúcim v prípade, ak </w:t>
      </w:r>
      <w:r>
        <w:rPr>
          <w:highlight w:val="none"/>
        </w:rPr>
        <w:tab/>
      </w:r>
      <w:r>
        <w:rPr>
          <w:highlight w:val="none"/>
        </w:rPr>
        <w:t xml:space="preserve">u predávajúceho nastanú dôvody na zrušenie registrácie podľa § 81 ods. 3 písm. b) druhého </w:t>
      </w:r>
      <w:r>
        <w:rPr>
          <w:highlight w:val="none"/>
        </w:rPr>
        <w:tab/>
      </w:r>
      <w:r>
        <w:rPr>
          <w:highlight w:val="none"/>
        </w:rPr>
        <w:t xml:space="preserve">bodu zákona o DPH v znení neskorších predpisov, alebo ak predávajúci bude zverejnený v </w:t>
      </w:r>
      <w:r>
        <w:rPr>
          <w:highlight w:val="none"/>
        </w:rPr>
        <w:tab/>
      </w:r>
      <w:r>
        <w:rPr>
          <w:highlight w:val="none"/>
        </w:rPr>
        <w:t xml:space="preserve">príslušnom zozname osôb na zrušenie registrácie pre DPH vedenom Finančným </w:t>
      </w:r>
      <w:r>
        <w:rPr>
          <w:highlight w:val="none"/>
        </w:rPr>
        <w:tab/>
      </w:r>
      <w:r>
        <w:rPr>
          <w:highlight w:val="none"/>
        </w:rPr>
        <w:t xml:space="preserve">riaditeľstvom SR, alebo ak bude daná dôvodná obava, že predávajúci príslušnú DPH alebo </w:t>
      </w:r>
      <w:r>
        <w:rPr>
          <w:highlight w:val="none"/>
        </w:rPr>
        <w:tab/>
      </w:r>
      <w:r>
        <w:rPr>
          <w:highlight w:val="none"/>
        </w:rPr>
        <w:t xml:space="preserve">jej časť v rozpore so zákonom o DPH nezaplatí. Kupujúci je oprávnený takto zadržanú </w:t>
      </w:r>
      <w:r>
        <w:rPr>
          <w:highlight w:val="none"/>
        </w:rPr>
        <w:tab/>
      </w:r>
      <w:r>
        <w:rPr>
          <w:highlight w:val="none"/>
        </w:rPr>
        <w:t xml:space="preserve">sumu použiť na úhradu neuhradenej DPH z faktúry vystavenej predávajúcim kupujúcemu </w:t>
      </w:r>
      <w:r>
        <w:rPr>
          <w:highlight w:val="none"/>
        </w:rPr>
        <w:tab/>
      </w:r>
      <w:r>
        <w:rPr>
          <w:highlight w:val="none"/>
        </w:rPr>
        <w:t>za podmienok dohodnutých zmluvou.</w:t>
      </w:r>
    </w:p>
    <w:p>
      <w:pPr>
        <w:pStyle w:val="13"/>
        <w:numPr>
          <w:ilvl w:val="1"/>
          <w:numId w:val="2"/>
        </w:numPr>
        <w:tabs>
          <w:tab w:val="left" w:pos="567"/>
          <w:tab w:val="clear" w:pos="360"/>
        </w:tabs>
        <w:jc w:val="both"/>
        <w:rPr>
          <w:highlight w:val="none"/>
        </w:rPr>
      </w:pPr>
      <w:r>
        <w:rPr>
          <w:highlight w:val="none"/>
        </w:rPr>
        <w:tab/>
      </w:r>
      <w:r>
        <w:rPr>
          <w:highlight w:val="none"/>
        </w:rPr>
        <w:t xml:space="preserve">Kupujúci, ktorému bola podľa § 69b zákona o DPH ako ručiteľovi uložená rozhodnutím </w:t>
      </w:r>
      <w:r>
        <w:rPr>
          <w:highlight w:val="none"/>
        </w:rPr>
        <w:tab/>
      </w:r>
      <w:r>
        <w:rPr>
          <w:highlight w:val="none"/>
        </w:rPr>
        <w:t xml:space="preserve">daňového úradu povinnosť uhradiť nezaplatenú DPH alebo jej časť za predávajúceho, alebo </w:t>
      </w:r>
      <w:r>
        <w:rPr>
          <w:highlight w:val="none"/>
        </w:rPr>
        <w:tab/>
      </w:r>
      <w:r>
        <w:rPr>
          <w:highlight w:val="none"/>
        </w:rPr>
        <w:t xml:space="preserve">ak daňový úrad vydá rozhodnutie o tom, že použije na úhradu predávajúcim nezaplatenej </w:t>
      </w:r>
      <w:r>
        <w:rPr>
          <w:highlight w:val="none"/>
        </w:rPr>
        <w:tab/>
      </w:r>
      <w:r>
        <w:rPr>
          <w:highlight w:val="none"/>
        </w:rPr>
        <w:t xml:space="preserve">DPH alebo jej časti nadmerný odpočet kupujúceho alebo jeho časť, je oprávnený </w:t>
      </w:r>
      <w:r>
        <w:rPr>
          <w:highlight w:val="none"/>
        </w:rPr>
        <w:tab/>
      </w:r>
      <w:r>
        <w:rPr>
          <w:highlight w:val="none"/>
        </w:rPr>
        <w:t>požadovať od predávajúceho náhradu za takto uhradenú nezaplatenú DPH alebo jej časť.</w:t>
      </w:r>
    </w:p>
    <w:p>
      <w:pPr>
        <w:pStyle w:val="13"/>
        <w:numPr>
          <w:ilvl w:val="1"/>
          <w:numId w:val="2"/>
        </w:numPr>
        <w:tabs>
          <w:tab w:val="left" w:pos="567"/>
          <w:tab w:val="clear" w:pos="360"/>
        </w:tabs>
        <w:jc w:val="both"/>
        <w:rPr>
          <w:bCs/>
          <w:highlight w:val="none"/>
        </w:rPr>
      </w:pPr>
      <w:r>
        <w:rPr>
          <w:highlight w:val="none"/>
        </w:rPr>
        <w:tab/>
      </w:r>
      <w:r>
        <w:rPr>
          <w:highlight w:val="none"/>
        </w:rPr>
        <w:t xml:space="preserve">Ak sa naplnia podmienky podľa § 69 a 69b zákona o DPH, predávajúci sa zaväzuje uhradiť </w:t>
      </w:r>
      <w:r>
        <w:rPr>
          <w:highlight w:val="none"/>
        </w:rPr>
        <w:tab/>
      </w:r>
      <w:r>
        <w:rPr>
          <w:highlight w:val="none"/>
        </w:rPr>
        <w:t>kupujúcemu všetky finančné náklady, ktoré v tejto súvislosti kupujúcemu vzniknú.</w:t>
      </w:r>
    </w:p>
    <w:p>
      <w:pPr>
        <w:pStyle w:val="13"/>
        <w:numPr>
          <w:ilvl w:val="1"/>
          <w:numId w:val="2"/>
        </w:numPr>
        <w:tabs>
          <w:tab w:val="left" w:pos="567"/>
          <w:tab w:val="clear" w:pos="360"/>
        </w:tabs>
        <w:jc w:val="both"/>
        <w:rPr>
          <w:bCs/>
          <w:highlight w:val="none"/>
        </w:rPr>
      </w:pPr>
      <w:r>
        <w:rPr>
          <w:bCs/>
          <w:highlight w:val="none"/>
        </w:rPr>
        <w:tab/>
      </w:r>
      <w:r>
        <w:rPr>
          <w:bCs/>
          <w:highlight w:val="none"/>
        </w:rPr>
        <w:t xml:space="preserve">Celková kúpna cena tovaru spolu je konečná a nemenná. V celkovej kúpnej cene tovaru </w:t>
      </w:r>
      <w:r>
        <w:rPr>
          <w:bCs/>
          <w:highlight w:val="none"/>
        </w:rPr>
        <w:tab/>
      </w:r>
      <w:r>
        <w:rPr>
          <w:bCs/>
          <w:highlight w:val="none"/>
        </w:rPr>
        <w:t xml:space="preserve">spolu sú zahrnuté tiež náklady spojené s dodávkou predmetu kúpy (tovaru) do sídla </w:t>
      </w:r>
      <w:r>
        <w:rPr>
          <w:bCs/>
          <w:highlight w:val="none"/>
        </w:rPr>
        <w:tab/>
      </w:r>
      <w:r>
        <w:rPr>
          <w:bCs/>
          <w:highlight w:val="none"/>
        </w:rPr>
        <w:t xml:space="preserve">kupujúceho a náklady na zaškolenie obsluhy </w:t>
      </w:r>
      <w:r>
        <w:rPr>
          <w:bCs/>
          <w:highlight w:val="none"/>
        </w:rPr>
        <w:tab/>
      </w:r>
      <w:r>
        <w:rPr>
          <w:bCs/>
          <w:highlight w:val="none"/>
        </w:rPr>
        <w:t xml:space="preserve">a rovnako aj všetky ďalšie výdavky </w:t>
      </w:r>
      <w:r>
        <w:rPr>
          <w:bCs/>
          <w:highlight w:val="none"/>
        </w:rPr>
        <w:tab/>
      </w:r>
      <w:r>
        <w:rPr>
          <w:bCs/>
          <w:highlight w:val="none"/>
        </w:rPr>
        <w:t xml:space="preserve">predávajúceho spojené so splnením záväzkov vyplývajúcich zo zmluvy. Celková kúpna </w:t>
      </w:r>
      <w:r>
        <w:rPr>
          <w:bCs/>
          <w:highlight w:val="none"/>
        </w:rPr>
        <w:tab/>
      </w:r>
      <w:r>
        <w:rPr>
          <w:bCs/>
          <w:highlight w:val="none"/>
        </w:rPr>
        <w:t xml:space="preserve">cena tovaru spolu bola dohodnutá na základe akceptácie cenovej </w:t>
      </w:r>
      <w:r>
        <w:rPr>
          <w:highlight w:val="none"/>
        </w:rPr>
        <w:t>ponuky predávajúceho.</w:t>
      </w:r>
    </w:p>
    <w:p>
      <w:pPr>
        <w:pStyle w:val="13"/>
        <w:numPr>
          <w:ilvl w:val="0"/>
          <w:numId w:val="0"/>
        </w:numPr>
        <w:tabs>
          <w:tab w:val="left" w:pos="567"/>
        </w:tabs>
        <w:ind w:leftChars="0"/>
        <w:jc w:val="both"/>
        <w:rPr>
          <w:bCs/>
          <w:highlight w:val="none"/>
        </w:rPr>
      </w:pPr>
    </w:p>
    <w:p>
      <w:pPr>
        <w:pStyle w:val="13"/>
        <w:ind w:left="360"/>
        <w:jc w:val="both"/>
        <w:rPr>
          <w:bCs/>
          <w:sz w:val="12"/>
          <w:szCs w:val="12"/>
          <w:highlight w:val="none"/>
        </w:rPr>
      </w:pPr>
    </w:p>
    <w:p>
      <w:pPr>
        <w:pStyle w:val="12"/>
        <w:autoSpaceDE/>
        <w:autoSpaceDN/>
        <w:adjustRightInd/>
        <w:ind w:left="567"/>
        <w:jc w:val="center"/>
        <w:rPr>
          <w:b/>
          <w:color w:val="auto"/>
          <w:sz w:val="28"/>
          <w:szCs w:val="28"/>
          <w:highlight w:val="none"/>
        </w:rPr>
      </w:pPr>
      <w:r>
        <w:rPr>
          <w:b/>
          <w:color w:val="auto"/>
          <w:sz w:val="28"/>
          <w:szCs w:val="28"/>
          <w:highlight w:val="none"/>
        </w:rPr>
        <w:t>5. Termín dodania tovaru</w:t>
      </w:r>
    </w:p>
    <w:p>
      <w:pPr>
        <w:pStyle w:val="12"/>
        <w:jc w:val="center"/>
        <w:rPr>
          <w:b/>
          <w:color w:val="auto"/>
          <w:sz w:val="16"/>
          <w:szCs w:val="16"/>
          <w:highlight w:val="none"/>
        </w:rPr>
      </w:pPr>
    </w:p>
    <w:p>
      <w:pPr>
        <w:pStyle w:val="12"/>
        <w:tabs>
          <w:tab w:val="left" w:pos="567"/>
        </w:tabs>
        <w:jc w:val="both"/>
        <w:rPr>
          <w:color w:val="auto"/>
          <w:highlight w:val="none"/>
        </w:rPr>
      </w:pPr>
      <w:r>
        <w:rPr>
          <w:color w:val="auto"/>
          <w:highlight w:val="none"/>
        </w:rPr>
        <w:t xml:space="preserve">5.1.  </w:t>
      </w:r>
      <w:r>
        <w:rPr>
          <w:color w:val="auto"/>
          <w:highlight w:val="none"/>
        </w:rPr>
        <w:tab/>
      </w:r>
      <w:r>
        <w:rPr>
          <w:color w:val="auto"/>
          <w:highlight w:val="none"/>
        </w:rPr>
        <w:t xml:space="preserve">Zmluvné strany si dohodli termín dodania tovaru </w:t>
      </w:r>
      <w:r>
        <w:rPr>
          <w:bCs/>
          <w:color w:val="auto"/>
          <w:highlight w:val="none"/>
        </w:rPr>
        <w:t>do</w:t>
      </w:r>
      <w:r>
        <w:rPr>
          <w:color w:val="auto"/>
          <w:highlight w:val="none"/>
        </w:rPr>
        <w:t xml:space="preserve"> </w:t>
      </w:r>
      <w:r>
        <w:rPr>
          <w:rFonts w:hint="default"/>
          <w:color w:val="auto"/>
          <w:highlight w:val="none"/>
          <w:lang w:val="sk-SK"/>
        </w:rPr>
        <w:t>120</w:t>
      </w:r>
      <w:r>
        <w:rPr>
          <w:color w:val="auto"/>
          <w:highlight w:val="none"/>
        </w:rPr>
        <w:t xml:space="preserve"> dní</w:t>
      </w:r>
      <w:r>
        <w:rPr>
          <w:b/>
          <w:color w:val="auto"/>
          <w:highlight w:val="none"/>
        </w:rPr>
        <w:t xml:space="preserve"> </w:t>
      </w:r>
      <w:r>
        <w:rPr>
          <w:color w:val="auto"/>
          <w:highlight w:val="none"/>
        </w:rPr>
        <w:t>od</w:t>
      </w:r>
      <w:r>
        <w:rPr>
          <w:rFonts w:hint="default"/>
          <w:color w:val="auto"/>
          <w:highlight w:val="none"/>
          <w:lang w:val="sk-SK"/>
        </w:rPr>
        <w:t xml:space="preserve"> zaslania objednávky</w:t>
      </w:r>
      <w:r>
        <w:rPr>
          <w:color w:val="auto"/>
          <w:highlight w:val="none"/>
        </w:rPr>
        <w:t>.</w:t>
      </w:r>
    </w:p>
    <w:p>
      <w:pPr>
        <w:pStyle w:val="12"/>
        <w:tabs>
          <w:tab w:val="left" w:pos="567"/>
        </w:tabs>
        <w:jc w:val="both"/>
        <w:rPr>
          <w:color w:val="auto"/>
          <w:highlight w:val="none"/>
        </w:rPr>
      </w:pPr>
    </w:p>
    <w:p>
      <w:pPr>
        <w:pStyle w:val="12"/>
        <w:jc w:val="center"/>
        <w:rPr>
          <w:b/>
          <w:color w:val="auto"/>
          <w:sz w:val="28"/>
          <w:szCs w:val="28"/>
          <w:highlight w:val="none"/>
        </w:rPr>
      </w:pPr>
      <w:r>
        <w:rPr>
          <w:b/>
          <w:color w:val="auto"/>
          <w:sz w:val="28"/>
          <w:szCs w:val="28"/>
          <w:highlight w:val="none"/>
        </w:rPr>
        <w:t>6. Fakturácia a platobné podmienky</w:t>
      </w:r>
    </w:p>
    <w:p>
      <w:pPr>
        <w:pStyle w:val="12"/>
        <w:jc w:val="center"/>
        <w:rPr>
          <w:color w:val="auto"/>
          <w:sz w:val="12"/>
          <w:szCs w:val="12"/>
          <w:highlight w:val="none"/>
        </w:rPr>
      </w:pPr>
    </w:p>
    <w:p>
      <w:pPr>
        <w:pStyle w:val="12"/>
        <w:numPr>
          <w:ilvl w:val="1"/>
          <w:numId w:val="3"/>
        </w:numPr>
        <w:autoSpaceDE/>
        <w:autoSpaceDN/>
        <w:adjustRightInd/>
        <w:jc w:val="both"/>
        <w:rPr>
          <w:color w:val="auto"/>
          <w:highlight w:val="none"/>
        </w:rPr>
      </w:pPr>
      <w:r>
        <w:rPr>
          <w:highlight w:val="none"/>
        </w:rPr>
        <w:t xml:space="preserve">Zmluvné strany sa dohodli, že preddavky sa nebudú poskytovať. </w:t>
      </w:r>
    </w:p>
    <w:p>
      <w:pPr>
        <w:pStyle w:val="12"/>
        <w:numPr>
          <w:ilvl w:val="1"/>
          <w:numId w:val="3"/>
        </w:numPr>
        <w:autoSpaceDE/>
        <w:autoSpaceDN/>
        <w:adjustRightInd/>
        <w:jc w:val="both"/>
        <w:rPr>
          <w:color w:val="auto"/>
          <w:highlight w:val="none"/>
        </w:rPr>
      </w:pPr>
      <w:r>
        <w:rPr>
          <w:highlight w:val="none"/>
        </w:rPr>
        <w:t xml:space="preserve">Platba bude realizovaná bezhotovostným spôsobom na základe faktúry vystavenej predávajúcim do 5 pracovných dní od prevzatia tovaru kupujúcim v súlade s čl. 3 zmluvy. </w:t>
      </w:r>
      <w:r>
        <w:rPr>
          <w:color w:val="auto"/>
          <w:highlight w:val="none"/>
        </w:rPr>
        <w:t>Právo na vystavenie faktúry a zaplatenie celkovej kúpnej ceny tovaru spolu podľa čl. 4 ods. 4.1. zmluvy vzniká predávajúcemu riadnym splnením jeho záväzku, t. j. dodaním tovaru kupujúcemu spĺňajúceho technickú a inú špecifikáciu podľa čl. II zmluvy spôsobom, v termíne a v mieste plnenia určenom v zmluve.</w:t>
      </w:r>
    </w:p>
    <w:p>
      <w:pPr>
        <w:pStyle w:val="12"/>
        <w:numPr>
          <w:ilvl w:val="1"/>
          <w:numId w:val="3"/>
        </w:numPr>
        <w:autoSpaceDE/>
        <w:autoSpaceDN/>
        <w:adjustRightInd/>
        <w:jc w:val="both"/>
        <w:rPr>
          <w:color w:val="auto"/>
          <w:highlight w:val="none"/>
        </w:rPr>
      </w:pPr>
      <w:r>
        <w:rPr>
          <w:color w:val="auto"/>
          <w:highlight w:val="none"/>
        </w:rPr>
        <w:t>K faktúre musí byť priložená fotokópia dodacieho listu podpísaného zástupcom kupujúceho povereným na prevzatie tovaru v súlade s</w:t>
      </w:r>
      <w:r>
        <w:rPr>
          <w:highlight w:val="none"/>
        </w:rPr>
        <w:t xml:space="preserve"> čl. 3 ods. 3.1. zmluvy.</w:t>
      </w:r>
    </w:p>
    <w:p>
      <w:pPr>
        <w:pStyle w:val="12"/>
        <w:numPr>
          <w:ilvl w:val="1"/>
          <w:numId w:val="3"/>
        </w:numPr>
        <w:autoSpaceDE/>
        <w:autoSpaceDN/>
        <w:adjustRightInd/>
        <w:jc w:val="both"/>
        <w:rPr>
          <w:color w:val="auto"/>
          <w:highlight w:val="none"/>
        </w:rPr>
      </w:pPr>
      <w:r>
        <w:rPr>
          <w:color w:val="auto"/>
          <w:highlight w:val="none"/>
        </w:rPr>
        <w:t>Faktúra musí obsahovať všetky náležitosti stanovené v zákone o DPH a prílohy podľa zmluvy, inak sa nepovažuje za riadne vystavenú.</w:t>
      </w:r>
    </w:p>
    <w:p>
      <w:pPr>
        <w:pStyle w:val="12"/>
        <w:numPr>
          <w:ilvl w:val="1"/>
          <w:numId w:val="3"/>
        </w:numPr>
        <w:autoSpaceDE/>
        <w:autoSpaceDN/>
        <w:adjustRightInd/>
        <w:jc w:val="both"/>
        <w:rPr>
          <w:color w:val="auto"/>
          <w:highlight w:val="none"/>
        </w:rPr>
      </w:pPr>
      <w:r>
        <w:rPr>
          <w:color w:val="auto"/>
          <w:highlight w:val="none"/>
        </w:rPr>
        <w:t>Lehota splatnosti faktúry je 30 dní odo dňa jej vystavenia</w:t>
      </w:r>
      <w:r>
        <w:rPr>
          <w:highlight w:val="none"/>
        </w:rPr>
        <w:t>, pričom musí byť doručená kupujúcemu najneskôr 10 dní pred termínom jej splatnosti.</w:t>
      </w:r>
      <w:r>
        <w:rPr>
          <w:color w:val="auto"/>
          <w:highlight w:val="none"/>
        </w:rPr>
        <w:t xml:space="preserve"> Dňom úhrady faktúry je deň pripísania peňažných prostriedkov na účet predávajúceho.</w:t>
      </w:r>
    </w:p>
    <w:p>
      <w:pPr>
        <w:pStyle w:val="12"/>
        <w:numPr>
          <w:ilvl w:val="1"/>
          <w:numId w:val="3"/>
        </w:numPr>
        <w:autoSpaceDE/>
        <w:autoSpaceDN/>
        <w:adjustRightInd/>
        <w:jc w:val="both"/>
        <w:rPr>
          <w:color w:val="auto"/>
          <w:highlight w:val="none"/>
        </w:rPr>
      </w:pPr>
      <w:r>
        <w:rPr>
          <w:color w:val="auto"/>
          <w:highlight w:val="none"/>
        </w:rPr>
        <w:t xml:space="preserve">Predávajúci </w:t>
      </w:r>
      <w:r>
        <w:rPr>
          <w:highlight w:val="none"/>
        </w:rPr>
        <w:t xml:space="preserve">sa zaväzuje vystaviť faktúru v elektronickej forme a doručiť ju kupujúcemu na </w:t>
      </w:r>
      <w:r>
        <w:rPr>
          <w:rFonts w:hint="default"/>
          <w:highlight w:val="none"/>
        </w:rPr>
        <w:t>limas.sro@gmail.com</w:t>
      </w:r>
      <w:r>
        <w:rPr>
          <w:rFonts w:hint="default"/>
          <w:highlight w:val="none"/>
          <w:lang w:val="sk-SK"/>
        </w:rPr>
        <w:t>.</w:t>
      </w:r>
      <w:r>
        <w:rPr>
          <w:color w:val="auto"/>
          <w:highlight w:val="none"/>
        </w:rPr>
        <w:t xml:space="preserve"> V prípade, ak vo faktúre budú uvedené nesprávne údaje, alebo nebude obsahovať všetky uvedené náležitosti a podmienky dohodnuté v zmluve, je to dôvod na odmietnutie faktúry a jej vrátenie na prepracovanie. </w:t>
      </w:r>
    </w:p>
    <w:p>
      <w:pPr>
        <w:pStyle w:val="12"/>
        <w:numPr>
          <w:ilvl w:val="1"/>
          <w:numId w:val="3"/>
        </w:numPr>
        <w:autoSpaceDE/>
        <w:autoSpaceDN/>
        <w:adjustRightInd/>
        <w:jc w:val="both"/>
        <w:rPr>
          <w:color w:val="auto"/>
          <w:highlight w:val="none"/>
        </w:rPr>
      </w:pPr>
      <w:r>
        <w:rPr>
          <w:highlight w:val="none"/>
        </w:rPr>
        <w:t xml:space="preserve">V prípade vrátenia faktúry je kupujúci povinný písomne informovať predávajúceho o dôvodoch jej vrátenia, pričom predávajúci je povinný vystaviť novú opravenú faktúru s novou lehotou splatnosti a doplniť požadované chýbajúce prílohy. </w:t>
      </w:r>
      <w:r>
        <w:rPr>
          <w:color w:val="auto"/>
          <w:highlight w:val="none"/>
        </w:rPr>
        <w:t xml:space="preserve">Nová lehota splatnosti v danom prípade začne plynúť až odo dňa vystavenia opravenej faktúry. </w:t>
      </w:r>
    </w:p>
    <w:p>
      <w:pPr>
        <w:pStyle w:val="12"/>
        <w:numPr>
          <w:ilvl w:val="1"/>
          <w:numId w:val="3"/>
        </w:numPr>
        <w:autoSpaceDE/>
        <w:autoSpaceDN/>
        <w:adjustRightInd/>
        <w:jc w:val="both"/>
        <w:rPr>
          <w:color w:val="auto"/>
          <w:highlight w:val="none"/>
        </w:rPr>
      </w:pPr>
      <w:r>
        <w:rPr>
          <w:color w:val="auto"/>
          <w:highlight w:val="none"/>
        </w:rPr>
        <w:t>Kupujúci nadobúda vlastnícke právo k dodanému tovaru dňom prevzatia tovaru - podpisom dodacieho listu podľa čl. 3 ods. 3.2. zmluvy.</w:t>
      </w:r>
    </w:p>
    <w:p>
      <w:pPr>
        <w:pStyle w:val="12"/>
        <w:numPr>
          <w:ilvl w:val="0"/>
          <w:numId w:val="0"/>
        </w:numPr>
        <w:autoSpaceDE/>
        <w:autoSpaceDN/>
        <w:adjustRightInd/>
        <w:ind w:leftChars="0"/>
        <w:jc w:val="both"/>
        <w:rPr>
          <w:color w:val="auto"/>
          <w:highlight w:val="none"/>
        </w:rPr>
      </w:pPr>
    </w:p>
    <w:p>
      <w:pPr>
        <w:pStyle w:val="12"/>
        <w:autoSpaceDE/>
        <w:autoSpaceDN/>
        <w:adjustRightInd/>
        <w:ind w:left="540"/>
        <w:jc w:val="both"/>
        <w:rPr>
          <w:color w:val="auto"/>
          <w:sz w:val="6"/>
          <w:szCs w:val="6"/>
          <w:highlight w:val="none"/>
        </w:rPr>
      </w:pPr>
    </w:p>
    <w:p>
      <w:pPr>
        <w:pStyle w:val="12"/>
        <w:autoSpaceDE/>
        <w:autoSpaceDN/>
        <w:adjustRightInd/>
        <w:ind w:left="540"/>
        <w:jc w:val="both"/>
        <w:rPr>
          <w:color w:val="auto"/>
          <w:sz w:val="6"/>
          <w:szCs w:val="6"/>
          <w:highlight w:val="none"/>
        </w:rPr>
      </w:pPr>
    </w:p>
    <w:p>
      <w:pPr>
        <w:pStyle w:val="12"/>
        <w:jc w:val="center"/>
        <w:rPr>
          <w:b/>
          <w:bCs/>
          <w:color w:val="auto"/>
          <w:sz w:val="28"/>
          <w:szCs w:val="28"/>
          <w:highlight w:val="none"/>
        </w:rPr>
      </w:pPr>
      <w:r>
        <w:rPr>
          <w:b/>
          <w:bCs/>
          <w:color w:val="auto"/>
          <w:sz w:val="28"/>
          <w:szCs w:val="28"/>
          <w:highlight w:val="none"/>
        </w:rPr>
        <w:t>7. Sankcie</w:t>
      </w:r>
    </w:p>
    <w:p>
      <w:pPr>
        <w:pStyle w:val="12"/>
        <w:jc w:val="center"/>
        <w:rPr>
          <w:b/>
          <w:color w:val="auto"/>
          <w:sz w:val="12"/>
          <w:szCs w:val="12"/>
          <w:highlight w:val="none"/>
        </w:rPr>
      </w:pPr>
    </w:p>
    <w:p>
      <w:pPr>
        <w:pStyle w:val="12"/>
        <w:numPr>
          <w:ilvl w:val="1"/>
          <w:numId w:val="4"/>
        </w:numPr>
        <w:tabs>
          <w:tab w:val="left" w:pos="567"/>
          <w:tab w:val="clear" w:pos="360"/>
        </w:tabs>
        <w:autoSpaceDE/>
        <w:autoSpaceDN/>
        <w:adjustRightInd/>
        <w:ind w:left="567" w:hanging="567"/>
        <w:jc w:val="both"/>
        <w:rPr>
          <w:color w:val="auto"/>
          <w:highlight w:val="none"/>
        </w:rPr>
      </w:pPr>
      <w:r>
        <w:rPr>
          <w:color w:val="auto"/>
          <w:highlight w:val="none"/>
        </w:rPr>
        <w:t>V prípade omeškania kupujúceho s úhradou faktúry za dodaný tovar má predávajúci nárok na úrok z omeškania vo výške 0,05 % z fakturovanej sumy bez DPH za každý začatý deň omeškania.</w:t>
      </w:r>
    </w:p>
    <w:p>
      <w:pPr>
        <w:pStyle w:val="12"/>
        <w:numPr>
          <w:ilvl w:val="1"/>
          <w:numId w:val="4"/>
        </w:numPr>
        <w:tabs>
          <w:tab w:val="left" w:pos="567"/>
          <w:tab w:val="clear" w:pos="360"/>
        </w:tabs>
        <w:autoSpaceDE/>
        <w:autoSpaceDN/>
        <w:adjustRightInd/>
        <w:ind w:left="567" w:hanging="567"/>
        <w:jc w:val="both"/>
        <w:rPr>
          <w:color w:val="auto"/>
          <w:highlight w:val="none"/>
        </w:rPr>
      </w:pPr>
      <w:r>
        <w:rPr>
          <w:color w:val="auto"/>
          <w:highlight w:val="none"/>
        </w:rPr>
        <w:t>Pokiaľ predávajúci nedodrží termín dodania tovaru podľa článku 5 odseku 5.1 zmluvy, má kupujúci nárok na úrok z omeškania vo výške 0,05% z celkovej kúpnej ceny tovaru spolu bez DPH za každý začatý deň omeškania.</w:t>
      </w:r>
    </w:p>
    <w:p>
      <w:pPr>
        <w:pStyle w:val="12"/>
        <w:numPr>
          <w:ilvl w:val="1"/>
          <w:numId w:val="4"/>
        </w:numPr>
        <w:tabs>
          <w:tab w:val="left" w:pos="567"/>
          <w:tab w:val="clear" w:pos="360"/>
        </w:tabs>
        <w:autoSpaceDE/>
        <w:autoSpaceDN/>
        <w:adjustRightInd/>
        <w:ind w:left="567" w:hanging="567"/>
        <w:jc w:val="both"/>
        <w:rPr>
          <w:color w:val="auto"/>
          <w:highlight w:val="none"/>
        </w:rPr>
      </w:pPr>
      <w:r>
        <w:rPr>
          <w:bCs/>
          <w:highlight w:val="none"/>
        </w:rPr>
        <w:t xml:space="preserve">Ak predávajúci bez zákonného alebo zmluvne dohodnutého dôvodu zanechá plnenie svojej povinnosti dodať kupujúcemu tovar (prestane s poskytovaním zmluvne dohodnutého plnenia alebo s poskytovaním tohto plnenia vôbec nezačne), je povinný zaplatiť kupujúcemu zmluvnú pokutu vo výške 15 % z celkovej kúpnej ceny tovaru spolu bez DPH. </w:t>
      </w:r>
    </w:p>
    <w:p>
      <w:pPr>
        <w:pStyle w:val="12"/>
        <w:numPr>
          <w:ilvl w:val="1"/>
          <w:numId w:val="4"/>
        </w:numPr>
        <w:tabs>
          <w:tab w:val="left" w:pos="567"/>
          <w:tab w:val="clear" w:pos="360"/>
        </w:tabs>
        <w:autoSpaceDE/>
        <w:autoSpaceDN/>
        <w:adjustRightInd/>
        <w:ind w:left="567" w:hanging="567"/>
        <w:jc w:val="both"/>
        <w:rPr>
          <w:color w:val="auto"/>
          <w:highlight w:val="none"/>
        </w:rPr>
      </w:pPr>
      <w:r>
        <w:rPr>
          <w:bCs/>
          <w:highlight w:val="none"/>
        </w:rPr>
        <w:t>Zaplatením zmluvnej pokuty nie je dotknuté právo kupujúceho na náhradu škody spôsobenej konaním alebo nekonaním predávajúceho.</w:t>
      </w:r>
    </w:p>
    <w:p>
      <w:pPr>
        <w:pStyle w:val="12"/>
        <w:autoSpaceDE/>
        <w:autoSpaceDN/>
        <w:adjustRightInd/>
        <w:ind w:left="567"/>
        <w:jc w:val="both"/>
        <w:rPr>
          <w:color w:val="auto"/>
          <w:sz w:val="12"/>
          <w:szCs w:val="12"/>
          <w:highlight w:val="none"/>
        </w:rPr>
      </w:pPr>
    </w:p>
    <w:p>
      <w:pPr>
        <w:pStyle w:val="12"/>
        <w:autoSpaceDE/>
        <w:autoSpaceDN/>
        <w:adjustRightInd/>
        <w:ind w:left="567"/>
        <w:jc w:val="both"/>
        <w:rPr>
          <w:rFonts w:hint="default"/>
          <w:color w:val="auto"/>
          <w:sz w:val="12"/>
          <w:szCs w:val="12"/>
          <w:highlight w:val="none"/>
          <w:lang w:val="sk-SK"/>
        </w:rPr>
      </w:pPr>
    </w:p>
    <w:p>
      <w:pPr>
        <w:pStyle w:val="12"/>
        <w:autoSpaceDE/>
        <w:autoSpaceDN/>
        <w:adjustRightInd/>
        <w:ind w:left="567"/>
        <w:jc w:val="both"/>
        <w:rPr>
          <w:rFonts w:hint="default"/>
          <w:color w:val="auto"/>
          <w:sz w:val="12"/>
          <w:szCs w:val="12"/>
          <w:highlight w:val="none"/>
          <w:lang w:val="sk-SK"/>
        </w:rPr>
      </w:pPr>
    </w:p>
    <w:p>
      <w:pPr>
        <w:pStyle w:val="12"/>
        <w:jc w:val="center"/>
        <w:rPr>
          <w:b/>
          <w:color w:val="auto"/>
          <w:sz w:val="28"/>
          <w:szCs w:val="28"/>
          <w:highlight w:val="none"/>
        </w:rPr>
      </w:pPr>
      <w:r>
        <w:rPr>
          <w:b/>
          <w:color w:val="auto"/>
          <w:sz w:val="28"/>
          <w:szCs w:val="28"/>
          <w:highlight w:val="none"/>
        </w:rPr>
        <w:t>8. Záručná doba a zodpovednosť za vady</w:t>
      </w:r>
    </w:p>
    <w:p>
      <w:pPr>
        <w:pStyle w:val="12"/>
        <w:jc w:val="center"/>
        <w:rPr>
          <w:color w:val="auto"/>
          <w:sz w:val="12"/>
          <w:szCs w:val="12"/>
          <w:highlight w:val="none"/>
        </w:rPr>
      </w:pPr>
    </w:p>
    <w:p>
      <w:pPr>
        <w:pStyle w:val="12"/>
        <w:numPr>
          <w:ilvl w:val="1"/>
          <w:numId w:val="5"/>
        </w:numPr>
        <w:tabs>
          <w:tab w:val="left" w:pos="567"/>
          <w:tab w:val="clear" w:pos="360"/>
        </w:tabs>
        <w:autoSpaceDE/>
        <w:autoSpaceDN/>
        <w:adjustRightInd/>
        <w:ind w:left="567" w:hanging="567"/>
        <w:jc w:val="both"/>
        <w:rPr>
          <w:color w:val="auto"/>
          <w:highlight w:val="none"/>
        </w:rPr>
      </w:pPr>
      <w:r>
        <w:rPr>
          <w:color w:val="auto"/>
          <w:highlight w:val="none"/>
        </w:rPr>
        <w:t xml:space="preserve">Predávajúci poskytuje na tovar záručnú dobu </w:t>
      </w:r>
      <w:r>
        <w:rPr>
          <w:bCs/>
          <w:color w:val="auto"/>
          <w:highlight w:val="none"/>
        </w:rPr>
        <w:t>12 mesiacov (pokiaľ výrobca neposkytuje dlhšiu záručnú dobu)</w:t>
      </w:r>
      <w:r>
        <w:rPr>
          <w:color w:val="auto"/>
          <w:highlight w:val="none"/>
        </w:rPr>
        <w:t>, pričom takto dohodnutá záručná doba začína plynúť odo dňa prevzatia tovaru kupujúcim.</w:t>
      </w:r>
    </w:p>
    <w:p>
      <w:pPr>
        <w:pStyle w:val="12"/>
        <w:numPr>
          <w:ilvl w:val="1"/>
          <w:numId w:val="5"/>
        </w:numPr>
        <w:tabs>
          <w:tab w:val="left" w:pos="567"/>
          <w:tab w:val="clear" w:pos="360"/>
        </w:tabs>
        <w:autoSpaceDE/>
        <w:autoSpaceDN/>
        <w:adjustRightInd/>
        <w:ind w:left="567" w:hanging="567"/>
        <w:jc w:val="both"/>
        <w:rPr>
          <w:color w:val="auto"/>
          <w:highlight w:val="none"/>
        </w:rPr>
      </w:pPr>
      <w:r>
        <w:rPr>
          <w:color w:val="auto"/>
          <w:highlight w:val="none"/>
        </w:rPr>
        <w:t>Zjavné vady, za ktoré nesie predávajúci zodpovednosť, musia byť kupujúcim bezodkladne oznámené písomne alebo e-mailom na e-mailovú adresu predávajúceho podľa čl. 1 zmluvy, najneskôr však do 10 pracovných dní odo dňa prevzatia tovaru.</w:t>
      </w:r>
    </w:p>
    <w:p>
      <w:pPr>
        <w:pStyle w:val="12"/>
        <w:numPr>
          <w:ilvl w:val="1"/>
          <w:numId w:val="5"/>
        </w:numPr>
        <w:tabs>
          <w:tab w:val="left" w:pos="567"/>
          <w:tab w:val="clear" w:pos="360"/>
        </w:tabs>
        <w:autoSpaceDE/>
        <w:autoSpaceDN/>
        <w:adjustRightInd/>
        <w:ind w:left="567" w:hanging="567"/>
        <w:jc w:val="both"/>
        <w:rPr>
          <w:color w:val="auto"/>
          <w:highlight w:val="none"/>
        </w:rPr>
      </w:pPr>
      <w:r>
        <w:rPr>
          <w:color w:val="auto"/>
          <w:highlight w:val="none"/>
        </w:rPr>
        <w:t>Vady skryté, ktoré sa prejavili po odovzdaní tovaru, je kupujúci oprávnený reklamovať písomne doporučeným listom na adresu sídla predávajúceho alebo emailom na e-mailovú adresu .............................., a to bez zbytočného odkladu po ich zistení v záručnej dobe, najneskôr však do 15 pracovných dní od ich zistenia. Oznámenie musí obsahovať popis vady kupujúcim, vrátane spôsobu, akým sa prejavuje, prípadne aj fotodokumentáciu.</w:t>
      </w:r>
    </w:p>
    <w:p>
      <w:pPr>
        <w:pStyle w:val="12"/>
        <w:numPr>
          <w:ilvl w:val="1"/>
          <w:numId w:val="5"/>
        </w:numPr>
        <w:tabs>
          <w:tab w:val="left" w:pos="567"/>
          <w:tab w:val="clear" w:pos="360"/>
        </w:tabs>
        <w:autoSpaceDE/>
        <w:autoSpaceDN/>
        <w:adjustRightInd/>
        <w:ind w:left="567" w:hanging="567"/>
        <w:jc w:val="both"/>
        <w:rPr>
          <w:color w:val="auto"/>
          <w:highlight w:val="none"/>
        </w:rPr>
      </w:pPr>
      <w:r>
        <w:rPr>
          <w:color w:val="auto"/>
          <w:highlight w:val="none"/>
        </w:rPr>
        <w:t>Predávajúci je povinný vadu alebo vady odstrániť v lehote do 3 dní odo dňa doručenia písomnej reklamácie. V prípade márneho uplynutia lehoty, v ktorej je predávajúci povinný odstrániť vadu alebo vady reklamované kupujúcim, má kupujúci právo účtovať predávajúcemu zmluvnú pokutu vo výške 300,-€ za každý začatý deň omeškania predávajúceho.</w:t>
      </w:r>
    </w:p>
    <w:p>
      <w:pPr>
        <w:pStyle w:val="12"/>
        <w:numPr>
          <w:ilvl w:val="1"/>
          <w:numId w:val="5"/>
        </w:numPr>
        <w:tabs>
          <w:tab w:val="left" w:pos="567"/>
          <w:tab w:val="clear" w:pos="360"/>
        </w:tabs>
        <w:autoSpaceDE/>
        <w:autoSpaceDN/>
        <w:adjustRightInd/>
        <w:ind w:left="567" w:hanging="567"/>
        <w:jc w:val="both"/>
        <w:rPr>
          <w:color w:val="auto"/>
          <w:highlight w:val="none"/>
        </w:rPr>
      </w:pPr>
      <w:r>
        <w:rPr>
          <w:color w:val="auto"/>
          <w:highlight w:val="none"/>
        </w:rPr>
        <w:t>Ak je dodaním tovaru s vadami porušená zmluva podstatným spôsobom, môže kupujúci:</w:t>
      </w:r>
    </w:p>
    <w:p>
      <w:pPr>
        <w:pStyle w:val="12"/>
        <w:numPr>
          <w:ilvl w:val="0"/>
          <w:numId w:val="6"/>
        </w:numPr>
        <w:autoSpaceDE/>
        <w:autoSpaceDN/>
        <w:adjustRightInd/>
        <w:jc w:val="both"/>
        <w:rPr>
          <w:color w:val="auto"/>
          <w:highlight w:val="none"/>
        </w:rPr>
      </w:pPr>
      <w:r>
        <w:rPr>
          <w:color w:val="auto"/>
          <w:highlight w:val="none"/>
        </w:rPr>
        <w:t>požadovať odstránenie vád dodaním náhradného tovaru za vadný tovar, dodanie chýbajúceho tovaru alebo jeho časti a požadovať odstránenie právnych vád,</w:t>
      </w:r>
    </w:p>
    <w:p>
      <w:pPr>
        <w:pStyle w:val="12"/>
        <w:numPr>
          <w:ilvl w:val="0"/>
          <w:numId w:val="6"/>
        </w:numPr>
        <w:autoSpaceDE/>
        <w:autoSpaceDN/>
        <w:adjustRightInd/>
        <w:jc w:val="both"/>
        <w:rPr>
          <w:color w:val="auto"/>
          <w:highlight w:val="none"/>
        </w:rPr>
      </w:pPr>
      <w:r>
        <w:rPr>
          <w:color w:val="auto"/>
          <w:highlight w:val="none"/>
        </w:rPr>
        <w:t xml:space="preserve">požadovať odstránenie vád opravou tovaru, ak sú vady opraviteľné, </w:t>
      </w:r>
    </w:p>
    <w:p>
      <w:pPr>
        <w:pStyle w:val="12"/>
        <w:numPr>
          <w:ilvl w:val="0"/>
          <w:numId w:val="6"/>
        </w:numPr>
        <w:autoSpaceDE/>
        <w:autoSpaceDN/>
        <w:adjustRightInd/>
        <w:jc w:val="both"/>
        <w:rPr>
          <w:color w:val="auto"/>
          <w:highlight w:val="none"/>
        </w:rPr>
      </w:pPr>
      <w:r>
        <w:rPr>
          <w:color w:val="auto"/>
          <w:highlight w:val="none"/>
        </w:rPr>
        <w:t xml:space="preserve">požadovať primeranú zľavu z kúpnej ceny, </w:t>
      </w:r>
    </w:p>
    <w:p>
      <w:pPr>
        <w:pStyle w:val="12"/>
        <w:numPr>
          <w:ilvl w:val="0"/>
          <w:numId w:val="6"/>
        </w:numPr>
        <w:autoSpaceDE/>
        <w:autoSpaceDN/>
        <w:adjustRightInd/>
        <w:jc w:val="both"/>
        <w:rPr>
          <w:color w:val="auto"/>
          <w:highlight w:val="none"/>
        </w:rPr>
      </w:pPr>
      <w:r>
        <w:rPr>
          <w:color w:val="auto"/>
          <w:highlight w:val="none"/>
        </w:rPr>
        <w:t>odstúpiť od zmluvy.</w:t>
      </w:r>
    </w:p>
    <w:p>
      <w:pPr>
        <w:pStyle w:val="12"/>
        <w:tabs>
          <w:tab w:val="left" w:pos="567"/>
        </w:tabs>
        <w:autoSpaceDE/>
        <w:autoSpaceDN/>
        <w:adjustRightInd/>
        <w:ind w:left="567"/>
        <w:jc w:val="both"/>
        <w:rPr>
          <w:color w:val="auto"/>
          <w:highlight w:val="none"/>
        </w:rPr>
      </w:pPr>
      <w:r>
        <w:rPr>
          <w:color w:val="auto"/>
          <w:highlight w:val="none"/>
        </w:rPr>
        <w:t>Voľbu vykoná kupujúci v reklamácii tovaru a túto je predávajúci povinný rešpektovať.</w:t>
      </w:r>
    </w:p>
    <w:p>
      <w:pPr>
        <w:pStyle w:val="12"/>
        <w:tabs>
          <w:tab w:val="left" w:pos="567"/>
        </w:tabs>
        <w:autoSpaceDE/>
        <w:autoSpaceDN/>
        <w:adjustRightInd/>
        <w:ind w:left="567"/>
        <w:jc w:val="both"/>
        <w:rPr>
          <w:color w:val="auto"/>
          <w:highlight w:val="none"/>
        </w:rPr>
      </w:pPr>
    </w:p>
    <w:p>
      <w:pPr>
        <w:pStyle w:val="12"/>
        <w:autoSpaceDE/>
        <w:autoSpaceDN/>
        <w:adjustRightInd/>
        <w:ind w:left="927"/>
        <w:jc w:val="both"/>
        <w:rPr>
          <w:color w:val="auto"/>
          <w:sz w:val="16"/>
          <w:szCs w:val="16"/>
          <w:highlight w:val="none"/>
        </w:rPr>
      </w:pPr>
    </w:p>
    <w:p>
      <w:pPr>
        <w:pStyle w:val="12"/>
        <w:numPr>
          <w:ilvl w:val="0"/>
          <w:numId w:val="5"/>
        </w:numPr>
        <w:autoSpaceDE/>
        <w:autoSpaceDN/>
        <w:adjustRightInd/>
        <w:jc w:val="center"/>
        <w:rPr>
          <w:b/>
          <w:color w:val="auto"/>
          <w:sz w:val="28"/>
          <w:szCs w:val="28"/>
          <w:highlight w:val="none"/>
        </w:rPr>
      </w:pPr>
      <w:r>
        <w:rPr>
          <w:b/>
          <w:color w:val="auto"/>
          <w:sz w:val="28"/>
          <w:szCs w:val="28"/>
          <w:highlight w:val="none"/>
        </w:rPr>
        <w:t>Odstúpenie od zmluvy</w:t>
      </w:r>
    </w:p>
    <w:p>
      <w:pPr>
        <w:pStyle w:val="12"/>
        <w:jc w:val="center"/>
        <w:rPr>
          <w:b/>
          <w:color w:val="auto"/>
          <w:sz w:val="16"/>
          <w:szCs w:val="16"/>
          <w:highlight w:val="none"/>
        </w:rPr>
      </w:pPr>
    </w:p>
    <w:p>
      <w:pPr>
        <w:pStyle w:val="12"/>
        <w:numPr>
          <w:ilvl w:val="1"/>
          <w:numId w:val="7"/>
        </w:numPr>
        <w:tabs>
          <w:tab w:val="clear" w:pos="360"/>
        </w:tabs>
        <w:autoSpaceDE/>
        <w:autoSpaceDN/>
        <w:adjustRightInd/>
        <w:ind w:left="567" w:hanging="567"/>
        <w:jc w:val="both"/>
        <w:rPr>
          <w:color w:val="auto"/>
          <w:highlight w:val="none"/>
        </w:rPr>
      </w:pPr>
      <w:r>
        <w:rPr>
          <w:color w:val="auto"/>
          <w:highlight w:val="none"/>
        </w:rPr>
        <w:t>Ktorákoľvek zo zmluvných strán môže odstúpiť od zmluvy v prípade porušenia zmluvnej povinnosti druhou zmluvnou stranou iba v prípadoch, ktoré ustanovuje zmluva alebo zákon č. 513/1991 Zb. Obchodný zákonník v.z.n.p. alebo iný všeobecne záväzný právny predpis.</w:t>
      </w:r>
    </w:p>
    <w:p>
      <w:pPr>
        <w:pStyle w:val="12"/>
        <w:numPr>
          <w:ilvl w:val="1"/>
          <w:numId w:val="7"/>
        </w:numPr>
        <w:tabs>
          <w:tab w:val="clear" w:pos="360"/>
        </w:tabs>
        <w:autoSpaceDE/>
        <w:autoSpaceDN/>
        <w:adjustRightInd/>
        <w:ind w:left="567" w:hanging="567"/>
        <w:jc w:val="both"/>
        <w:rPr>
          <w:color w:val="auto"/>
          <w:highlight w:val="none"/>
        </w:rPr>
      </w:pPr>
      <w:r>
        <w:rPr>
          <w:color w:val="auto"/>
          <w:highlight w:val="none"/>
        </w:rPr>
        <w:t>Pre prípad odstúpenia od zmluvy sa za podstatné porušenie zmluvnej povinnosti považuje:</w:t>
      </w:r>
    </w:p>
    <w:p>
      <w:pPr>
        <w:pStyle w:val="12"/>
        <w:ind w:left="567"/>
        <w:jc w:val="both"/>
        <w:rPr>
          <w:color w:val="auto"/>
          <w:highlight w:val="none"/>
        </w:rPr>
      </w:pPr>
      <w:r>
        <w:rPr>
          <w:color w:val="auto"/>
          <w:highlight w:val="none"/>
        </w:rPr>
        <w:t>a/ zo strany kupujúceho:</w:t>
      </w:r>
    </w:p>
    <w:p>
      <w:pPr>
        <w:pStyle w:val="12"/>
        <w:numPr>
          <w:ilvl w:val="0"/>
          <w:numId w:val="6"/>
        </w:numPr>
        <w:autoSpaceDE/>
        <w:autoSpaceDN/>
        <w:adjustRightInd/>
        <w:jc w:val="both"/>
        <w:rPr>
          <w:color w:val="auto"/>
          <w:highlight w:val="none"/>
        </w:rPr>
      </w:pPr>
      <w:r>
        <w:rPr>
          <w:color w:val="auto"/>
          <w:highlight w:val="none"/>
        </w:rPr>
        <w:t>omeškanie s úhradou dohodnutej kúpnej ceny za dodaný tovar o viac ako 2 mesiace po lehote splatnosti doručenej faktúry,</w:t>
      </w:r>
    </w:p>
    <w:p>
      <w:pPr>
        <w:pStyle w:val="12"/>
        <w:numPr>
          <w:ilvl w:val="0"/>
          <w:numId w:val="6"/>
        </w:numPr>
        <w:autoSpaceDE/>
        <w:autoSpaceDN/>
        <w:adjustRightInd/>
        <w:jc w:val="both"/>
        <w:rPr>
          <w:color w:val="auto"/>
          <w:highlight w:val="none"/>
        </w:rPr>
      </w:pPr>
      <w:r>
        <w:rPr>
          <w:color w:val="auto"/>
          <w:highlight w:val="none"/>
        </w:rPr>
        <w:t>bezdôvodné odmietnutie prevzatia riadne a včas dodaného tovaru,</w:t>
      </w:r>
    </w:p>
    <w:p>
      <w:pPr>
        <w:pStyle w:val="12"/>
        <w:ind w:left="567"/>
        <w:jc w:val="both"/>
        <w:rPr>
          <w:color w:val="auto"/>
          <w:highlight w:val="none"/>
        </w:rPr>
      </w:pPr>
      <w:r>
        <w:rPr>
          <w:color w:val="auto"/>
          <w:highlight w:val="none"/>
        </w:rPr>
        <w:t>b/ zo strany predávajúceho:</w:t>
      </w:r>
    </w:p>
    <w:p>
      <w:pPr>
        <w:pStyle w:val="12"/>
        <w:numPr>
          <w:ilvl w:val="0"/>
          <w:numId w:val="6"/>
        </w:numPr>
        <w:autoSpaceDE/>
        <w:autoSpaceDN/>
        <w:adjustRightInd/>
        <w:jc w:val="both"/>
        <w:rPr>
          <w:color w:val="auto"/>
          <w:highlight w:val="none"/>
        </w:rPr>
      </w:pPr>
      <w:r>
        <w:rPr>
          <w:color w:val="auto"/>
          <w:highlight w:val="none"/>
        </w:rPr>
        <w:t>omeškanie predávajúceho s dodaním tovaru o viac ako 2 mesiace po termíne uvedenom v článku 5 zmluvy,</w:t>
      </w:r>
    </w:p>
    <w:p>
      <w:pPr>
        <w:pStyle w:val="12"/>
        <w:numPr>
          <w:ilvl w:val="0"/>
          <w:numId w:val="6"/>
        </w:numPr>
        <w:autoSpaceDE/>
        <w:autoSpaceDN/>
        <w:adjustRightInd/>
        <w:jc w:val="both"/>
        <w:rPr>
          <w:color w:val="auto"/>
          <w:highlight w:val="none"/>
        </w:rPr>
      </w:pPr>
      <w:r>
        <w:rPr>
          <w:color w:val="auto"/>
          <w:highlight w:val="none"/>
        </w:rPr>
        <w:t>dodanie tovaru s vadami, ktoré nie sú odstrániteľné resp. opraviteľné,</w:t>
      </w:r>
    </w:p>
    <w:p>
      <w:pPr>
        <w:pStyle w:val="12"/>
        <w:numPr>
          <w:ilvl w:val="0"/>
          <w:numId w:val="6"/>
        </w:numPr>
        <w:autoSpaceDE/>
        <w:autoSpaceDN/>
        <w:adjustRightInd/>
        <w:jc w:val="both"/>
        <w:rPr>
          <w:color w:val="auto"/>
          <w:highlight w:val="none"/>
        </w:rPr>
      </w:pPr>
      <w:r>
        <w:rPr>
          <w:color w:val="auto"/>
          <w:highlight w:val="none"/>
        </w:rPr>
        <w:t>dodanie iného ako zmluvne dohodnutého tovaru,</w:t>
      </w:r>
    </w:p>
    <w:p>
      <w:pPr>
        <w:pStyle w:val="12"/>
        <w:numPr>
          <w:ilvl w:val="0"/>
          <w:numId w:val="6"/>
        </w:numPr>
        <w:autoSpaceDE/>
        <w:autoSpaceDN/>
        <w:adjustRightInd/>
        <w:jc w:val="both"/>
        <w:rPr>
          <w:color w:val="auto"/>
          <w:highlight w:val="none"/>
        </w:rPr>
      </w:pPr>
      <w:r>
        <w:rPr>
          <w:color w:val="auto"/>
          <w:highlight w:val="none"/>
        </w:rPr>
        <w:t>dodanie tovaru s právnymi vadami,</w:t>
      </w:r>
    </w:p>
    <w:p>
      <w:pPr>
        <w:pStyle w:val="12"/>
        <w:numPr>
          <w:ilvl w:val="0"/>
          <w:numId w:val="6"/>
        </w:numPr>
        <w:autoSpaceDE/>
        <w:autoSpaceDN/>
        <w:adjustRightInd/>
        <w:jc w:val="both"/>
        <w:rPr>
          <w:color w:val="auto"/>
          <w:highlight w:val="none"/>
        </w:rPr>
      </w:pPr>
      <w:r>
        <w:rPr>
          <w:color w:val="auto"/>
          <w:highlight w:val="none"/>
        </w:rPr>
        <w:t>neodstránenie reklamovaných vád ani v dodatočnej 30 dňovej lehote, ktorá začína plynúť v deň nasledujúci po márnom uplynutí lehoty podľa čl. 8 ods. 8.4. zmluvy.</w:t>
      </w:r>
    </w:p>
    <w:p>
      <w:pPr>
        <w:pStyle w:val="12"/>
        <w:numPr>
          <w:ilvl w:val="0"/>
          <w:numId w:val="6"/>
        </w:numPr>
        <w:autoSpaceDE/>
        <w:autoSpaceDN/>
        <w:adjustRightInd/>
        <w:jc w:val="both"/>
        <w:rPr>
          <w:color w:val="auto"/>
          <w:highlight w:val="none"/>
        </w:rPr>
      </w:pPr>
      <w:r>
        <w:rPr>
          <w:color w:val="auto"/>
          <w:highlight w:val="none"/>
        </w:rPr>
        <w:t>dodanie nekompletného tovaru.</w:t>
      </w:r>
    </w:p>
    <w:p>
      <w:pPr>
        <w:pStyle w:val="12"/>
        <w:autoSpaceDE/>
        <w:autoSpaceDN/>
        <w:adjustRightInd/>
        <w:ind w:left="927"/>
        <w:jc w:val="both"/>
        <w:rPr>
          <w:color w:val="auto"/>
          <w:sz w:val="6"/>
          <w:szCs w:val="6"/>
          <w:highlight w:val="none"/>
        </w:rPr>
      </w:pPr>
    </w:p>
    <w:p>
      <w:pPr>
        <w:pStyle w:val="12"/>
        <w:autoSpaceDE/>
        <w:autoSpaceDN/>
        <w:adjustRightInd/>
        <w:ind w:left="927"/>
        <w:jc w:val="both"/>
        <w:rPr>
          <w:color w:val="auto"/>
          <w:sz w:val="6"/>
          <w:szCs w:val="6"/>
          <w:highlight w:val="none"/>
        </w:rPr>
      </w:pPr>
    </w:p>
    <w:p>
      <w:pPr>
        <w:pStyle w:val="12"/>
        <w:numPr>
          <w:ilvl w:val="1"/>
          <w:numId w:val="7"/>
        </w:numPr>
        <w:tabs>
          <w:tab w:val="clear" w:pos="360"/>
        </w:tabs>
        <w:autoSpaceDE/>
        <w:autoSpaceDN/>
        <w:adjustRightInd/>
        <w:ind w:left="567" w:hanging="567"/>
        <w:jc w:val="both"/>
        <w:rPr>
          <w:color w:val="auto"/>
          <w:highlight w:val="none"/>
        </w:rPr>
      </w:pPr>
      <w:r>
        <w:rPr>
          <w:color w:val="auto"/>
          <w:highlight w:val="none"/>
        </w:rPr>
        <w:t>Ak dôjde k odstúpeniu od zmluvy niektorou zo zmluvných strán po realizácii plnenia druhou zmluvnou stranou, potom strana, ktorej pred odstúpením od zmluvy poskytla plnenie druhá zmluvná strana, toto plnenie bez zbytočného odkladu vráti.</w:t>
      </w:r>
    </w:p>
    <w:p>
      <w:pPr>
        <w:pStyle w:val="12"/>
        <w:numPr>
          <w:ilvl w:val="1"/>
          <w:numId w:val="7"/>
        </w:numPr>
        <w:tabs>
          <w:tab w:val="clear" w:pos="360"/>
        </w:tabs>
        <w:autoSpaceDE/>
        <w:autoSpaceDN/>
        <w:adjustRightInd/>
        <w:ind w:left="567" w:hanging="567"/>
        <w:jc w:val="both"/>
        <w:rPr>
          <w:color w:val="auto"/>
          <w:highlight w:val="none"/>
        </w:rPr>
      </w:pPr>
      <w:r>
        <w:rPr>
          <w:color w:val="auto"/>
          <w:highlight w:val="none"/>
        </w:rPr>
        <w:t>Oznámenie o odstúpení od zmluvy musí byť písomné, musí v ňom byť uvedený dôvod odstúpenia a musí byť doručené druhej strane. Doručením oznámenia o odstúpení od zmluvy druhej zmluvnej strane zmluva zaniká.</w:t>
      </w:r>
    </w:p>
    <w:p>
      <w:pPr>
        <w:pStyle w:val="12"/>
        <w:numPr>
          <w:ilvl w:val="1"/>
          <w:numId w:val="7"/>
        </w:numPr>
        <w:tabs>
          <w:tab w:val="clear" w:pos="360"/>
        </w:tabs>
        <w:autoSpaceDE/>
        <w:autoSpaceDN/>
        <w:adjustRightInd/>
        <w:ind w:left="567" w:hanging="567"/>
        <w:jc w:val="both"/>
        <w:rPr>
          <w:color w:val="auto"/>
          <w:highlight w:val="none"/>
        </w:rPr>
      </w:pPr>
      <w:r>
        <w:rPr>
          <w:color w:val="auto"/>
          <w:highlight w:val="none"/>
        </w:rPr>
        <w:t>Odstúpenie od zmluvy sa nedotýka prípadného nároku na náhradu škody alebo nároku na zmluvné alebo zákonné sankcie vzniknutých porušením povinnosti niektorej zmluvnej strany.</w:t>
      </w:r>
    </w:p>
    <w:p>
      <w:pPr>
        <w:pStyle w:val="12"/>
        <w:ind w:left="426" w:hanging="426"/>
        <w:rPr>
          <w:color w:val="auto"/>
          <w:sz w:val="8"/>
          <w:szCs w:val="8"/>
          <w:highlight w:val="none"/>
        </w:rPr>
      </w:pPr>
    </w:p>
    <w:p>
      <w:pPr>
        <w:pStyle w:val="12"/>
        <w:jc w:val="center"/>
        <w:rPr>
          <w:b/>
          <w:color w:val="auto"/>
          <w:sz w:val="28"/>
          <w:szCs w:val="28"/>
          <w:highlight w:val="none"/>
        </w:rPr>
      </w:pPr>
    </w:p>
    <w:p>
      <w:pPr>
        <w:pStyle w:val="12"/>
        <w:jc w:val="center"/>
        <w:rPr>
          <w:b/>
          <w:color w:val="auto"/>
          <w:sz w:val="28"/>
          <w:szCs w:val="28"/>
          <w:highlight w:val="none"/>
        </w:rPr>
      </w:pPr>
      <w:r>
        <w:rPr>
          <w:b/>
          <w:color w:val="auto"/>
          <w:sz w:val="28"/>
          <w:szCs w:val="28"/>
          <w:highlight w:val="none"/>
        </w:rPr>
        <w:t>10. Ostatné zmluvné dojednania</w:t>
      </w:r>
    </w:p>
    <w:p>
      <w:pPr>
        <w:pStyle w:val="12"/>
        <w:jc w:val="center"/>
        <w:rPr>
          <w:b/>
          <w:color w:val="auto"/>
          <w:sz w:val="12"/>
          <w:szCs w:val="12"/>
          <w:highlight w:val="none"/>
        </w:rPr>
      </w:pPr>
    </w:p>
    <w:p>
      <w:pPr>
        <w:pStyle w:val="12"/>
        <w:numPr>
          <w:ilvl w:val="1"/>
          <w:numId w:val="8"/>
        </w:numPr>
        <w:autoSpaceDE/>
        <w:autoSpaceDN/>
        <w:adjustRightInd/>
        <w:jc w:val="both"/>
        <w:rPr>
          <w:color w:val="auto"/>
          <w:highlight w:val="none"/>
        </w:rPr>
      </w:pPr>
      <w:r>
        <w:rPr>
          <w:bCs/>
          <w:highlight w:val="none"/>
        </w:rPr>
        <w:t xml:space="preserve">Vzájomné práva zmluvných strán, pokiaľ nie sú upravené v zmluve, sa riadia </w:t>
      </w:r>
      <w:r>
        <w:rPr>
          <w:bCs/>
          <w:highlight w:val="none"/>
        </w:rPr>
        <w:tab/>
      </w:r>
      <w:r>
        <w:rPr>
          <w:bCs/>
          <w:highlight w:val="none"/>
        </w:rPr>
        <w:t>príslušnými ustanoveniami zákona č. 513/1991 Zb. Obchodný zákonník v.z.n.p.</w:t>
      </w:r>
      <w:r>
        <w:rPr>
          <w:bCs/>
          <w:highlight w:val="none"/>
        </w:rPr>
        <w:tab/>
      </w:r>
      <w:r>
        <w:rPr>
          <w:bCs/>
          <w:highlight w:val="none"/>
        </w:rPr>
        <w:t xml:space="preserve">a ostatnými všeobecne záväznými právnymi predpismi platnými na území SR. Právny </w:t>
      </w:r>
      <w:r>
        <w:rPr>
          <w:bCs/>
          <w:highlight w:val="none"/>
        </w:rPr>
        <w:tab/>
      </w:r>
      <w:r>
        <w:rPr>
          <w:bCs/>
          <w:highlight w:val="none"/>
        </w:rPr>
        <w:t>vzťah založený zmluvou sa spravuje právnym poriadkom SR.</w:t>
      </w:r>
    </w:p>
    <w:p>
      <w:pPr>
        <w:pStyle w:val="12"/>
        <w:numPr>
          <w:ilvl w:val="1"/>
          <w:numId w:val="8"/>
        </w:numPr>
        <w:tabs>
          <w:tab w:val="left" w:pos="567"/>
          <w:tab w:val="clear" w:pos="360"/>
        </w:tabs>
        <w:autoSpaceDE/>
        <w:autoSpaceDN/>
        <w:adjustRightInd/>
        <w:ind w:left="567" w:hanging="567"/>
        <w:jc w:val="both"/>
        <w:rPr>
          <w:color w:val="auto"/>
          <w:highlight w:val="none"/>
        </w:rPr>
      </w:pPr>
      <w:r>
        <w:rPr>
          <w:color w:val="auto"/>
          <w:highlight w:val="none"/>
        </w:rPr>
        <w:tab/>
      </w:r>
      <w:r>
        <w:rPr>
          <w:color w:val="auto"/>
          <w:highlight w:val="none"/>
        </w:rPr>
        <w:t xml:space="preserve">Zmluvné strany sa dohodli, že prípadné spory vyplývajúce zo zmluvy, rozpory vo </w:t>
      </w:r>
      <w:r>
        <w:rPr>
          <w:color w:val="auto"/>
          <w:highlight w:val="none"/>
        </w:rPr>
        <w:tab/>
      </w:r>
      <w:r>
        <w:rPr>
          <w:color w:val="auto"/>
          <w:highlight w:val="none"/>
        </w:rPr>
        <w:t xml:space="preserve">výklade niektorých jej ustanovení alebo rozpory pri uzatváraní dodatkov budú riešiť </w:t>
      </w:r>
      <w:r>
        <w:rPr>
          <w:color w:val="auto"/>
          <w:highlight w:val="none"/>
        </w:rPr>
        <w:tab/>
      </w:r>
      <w:r>
        <w:rPr>
          <w:color w:val="auto"/>
          <w:highlight w:val="none"/>
        </w:rPr>
        <w:t>predovšetkým cestou zmieru a vzájomným rokovaním.</w:t>
      </w:r>
      <w:r>
        <w:rPr>
          <w:bCs/>
          <w:highlight w:val="none"/>
        </w:rPr>
        <w:t xml:space="preserve"> Pre prípad sporov alebo </w:t>
      </w:r>
      <w:r>
        <w:rPr>
          <w:bCs/>
          <w:highlight w:val="none"/>
        </w:rPr>
        <w:tab/>
      </w:r>
      <w:r>
        <w:rPr>
          <w:bCs/>
          <w:highlight w:val="none"/>
        </w:rPr>
        <w:t xml:space="preserve">nezrovnalostí ohľadom záväzkov vyplývajúcich zo zmluvy sa stanovuje nasledovné </w:t>
      </w:r>
      <w:r>
        <w:rPr>
          <w:bCs/>
          <w:highlight w:val="none"/>
        </w:rPr>
        <w:tab/>
      </w:r>
      <w:r>
        <w:rPr>
          <w:bCs/>
          <w:highlight w:val="none"/>
        </w:rPr>
        <w:t>poradie dôležitosti dokumentov:</w:t>
      </w:r>
    </w:p>
    <w:p>
      <w:pPr>
        <w:pStyle w:val="11"/>
        <w:numPr>
          <w:ilvl w:val="1"/>
          <w:numId w:val="9"/>
        </w:numPr>
        <w:tabs>
          <w:tab w:val="left" w:pos="284"/>
          <w:tab w:val="clear" w:pos="567"/>
        </w:tabs>
        <w:spacing w:before="0"/>
        <w:rPr>
          <w:rFonts w:ascii="Times New Roman" w:hAnsi="Times New Roman"/>
          <w:b w:val="0"/>
          <w:bCs/>
          <w:sz w:val="24"/>
          <w:szCs w:val="24"/>
          <w:highlight w:val="none"/>
        </w:rPr>
      </w:pPr>
      <w:r>
        <w:rPr>
          <w:rFonts w:ascii="Times New Roman" w:hAnsi="Times New Roman"/>
          <w:b w:val="0"/>
          <w:bCs/>
          <w:sz w:val="24"/>
          <w:szCs w:val="24"/>
          <w:highlight w:val="none"/>
        </w:rPr>
        <w:t>Zmluva,</w:t>
      </w:r>
    </w:p>
    <w:p>
      <w:pPr>
        <w:pStyle w:val="11"/>
        <w:numPr>
          <w:ilvl w:val="1"/>
          <w:numId w:val="9"/>
        </w:numPr>
        <w:tabs>
          <w:tab w:val="left" w:pos="284"/>
          <w:tab w:val="clear" w:pos="567"/>
        </w:tabs>
        <w:spacing w:before="0"/>
        <w:rPr>
          <w:rFonts w:ascii="Times New Roman" w:hAnsi="Times New Roman"/>
          <w:b w:val="0"/>
          <w:bCs/>
          <w:sz w:val="24"/>
          <w:szCs w:val="24"/>
          <w:highlight w:val="none"/>
        </w:rPr>
      </w:pPr>
      <w:r>
        <w:rPr>
          <w:rFonts w:ascii="Times New Roman" w:hAnsi="Times New Roman"/>
          <w:b w:val="0"/>
          <w:bCs/>
          <w:sz w:val="24"/>
          <w:szCs w:val="24"/>
          <w:highlight w:val="none"/>
        </w:rPr>
        <w:t>Obchodný zákonník a ostatné všeobecne záväzné právne predpisy,</w:t>
      </w:r>
    </w:p>
    <w:p>
      <w:pPr>
        <w:pStyle w:val="11"/>
        <w:numPr>
          <w:ilvl w:val="1"/>
          <w:numId w:val="9"/>
        </w:numPr>
        <w:tabs>
          <w:tab w:val="left" w:pos="284"/>
          <w:tab w:val="clear" w:pos="567"/>
        </w:tabs>
        <w:spacing w:before="0"/>
        <w:rPr>
          <w:rFonts w:ascii="Times New Roman" w:hAnsi="Times New Roman"/>
          <w:b w:val="0"/>
          <w:bCs/>
          <w:sz w:val="24"/>
          <w:szCs w:val="24"/>
          <w:highlight w:val="none"/>
        </w:rPr>
      </w:pPr>
      <w:r>
        <w:rPr>
          <w:rFonts w:ascii="Times New Roman" w:hAnsi="Times New Roman"/>
          <w:b w:val="0"/>
          <w:sz w:val="24"/>
          <w:szCs w:val="24"/>
          <w:highlight w:val="none"/>
        </w:rPr>
        <w:t>Cenová ponuka a ostatné súťažné podklady.</w:t>
      </w:r>
    </w:p>
    <w:p>
      <w:pPr>
        <w:pStyle w:val="12"/>
        <w:numPr>
          <w:ilvl w:val="1"/>
          <w:numId w:val="8"/>
        </w:numPr>
        <w:tabs>
          <w:tab w:val="left" w:pos="567"/>
          <w:tab w:val="clear" w:pos="360"/>
        </w:tabs>
        <w:autoSpaceDE/>
        <w:autoSpaceDN/>
        <w:adjustRightInd/>
        <w:ind w:left="567" w:hanging="567"/>
        <w:jc w:val="both"/>
        <w:rPr>
          <w:color w:val="auto"/>
          <w:highlight w:val="none"/>
        </w:rPr>
      </w:pPr>
      <w:r>
        <w:rPr>
          <w:color w:val="auto"/>
          <w:highlight w:val="none"/>
        </w:rPr>
        <w:t>Zmluvné strany sa dohodli, že neprevedú na tretie osoby svoje práva a povinnosti vyplývajúce zo zmluvy bez súhlasu druhej strany.</w:t>
      </w:r>
    </w:p>
    <w:p>
      <w:pPr>
        <w:pStyle w:val="12"/>
        <w:numPr>
          <w:ilvl w:val="1"/>
          <w:numId w:val="8"/>
        </w:numPr>
        <w:tabs>
          <w:tab w:val="left" w:pos="567"/>
          <w:tab w:val="clear" w:pos="360"/>
        </w:tabs>
        <w:autoSpaceDE/>
        <w:autoSpaceDN/>
        <w:adjustRightInd/>
        <w:ind w:left="567" w:hanging="567"/>
        <w:jc w:val="both"/>
        <w:rPr>
          <w:color w:val="auto"/>
          <w:highlight w:val="none"/>
        </w:rPr>
      </w:pPr>
      <w:r>
        <w:rPr>
          <w:color w:val="auto"/>
          <w:highlight w:val="none"/>
        </w:rPr>
        <w:t>Predávajúci sa zaväzuje, že zaškolí obsluhu kupujúceho ohľadne riadneho užívania tovaru a jeho technických alebo iných náležitostiach a rovnako poskytne kupujúcemu na tento účel bezodplatné konzultácie.</w:t>
      </w:r>
    </w:p>
    <w:p>
      <w:pPr>
        <w:pStyle w:val="12"/>
        <w:numPr>
          <w:ilvl w:val="1"/>
          <w:numId w:val="8"/>
        </w:numPr>
        <w:tabs>
          <w:tab w:val="left" w:pos="567"/>
          <w:tab w:val="clear" w:pos="360"/>
        </w:tabs>
        <w:autoSpaceDE/>
        <w:autoSpaceDN/>
        <w:adjustRightInd/>
        <w:ind w:left="567" w:hanging="567"/>
        <w:jc w:val="both"/>
        <w:rPr>
          <w:color w:val="auto"/>
          <w:highlight w:val="none"/>
        </w:rPr>
      </w:pPr>
      <w:r>
        <w:rPr>
          <w:color w:val="auto"/>
          <w:highlight w:val="none"/>
        </w:rPr>
        <w:t xml:space="preserve">Zmluvné strany berú na vedomie, že kupujúci má v súvislosti s kúpou predmetu kúpy záujem získať na jeho financovanie (za účelom úhrady celkovej kúpnej ceny tovaru spolu podľa čl. 4 ods. 4.1. zmluvy) zdroje z Programu rozvoja vidieka SR 2014 – </w:t>
      </w:r>
      <w:r>
        <w:rPr>
          <w:color w:val="auto"/>
          <w:highlight w:val="none"/>
          <w:lang w:val="sk-SK"/>
        </w:rPr>
        <w:t>2022</w:t>
      </w:r>
      <w:r>
        <w:rPr>
          <w:color w:val="auto"/>
          <w:highlight w:val="none"/>
        </w:rPr>
        <w:t>, opatrenie: 4 – Investície do hmotného majetku, podopatrenie: 4.</w:t>
      </w:r>
      <w:r>
        <w:rPr>
          <w:rFonts w:hint="default"/>
          <w:color w:val="auto"/>
          <w:highlight w:val="none"/>
          <w:lang w:val="sk-SK"/>
        </w:rPr>
        <w:t>1</w:t>
      </w:r>
      <w:r>
        <w:rPr>
          <w:color w:val="auto"/>
          <w:highlight w:val="none"/>
        </w:rPr>
        <w:t xml:space="preserve"> – </w:t>
      </w:r>
      <w:r>
        <w:rPr>
          <w:rFonts w:hint="default"/>
          <w:color w:val="auto"/>
          <w:highlight w:val="none"/>
          <w:lang w:val="sk-SK"/>
        </w:rPr>
        <w:t>Podpora na investície do poľnohospodárskych podnikov, výzva č. 52/PRV/2022. Zmluvné strany v nadväznosti na uvedené vyhlasujú, že berú na vedomie kontrolnú právo</w:t>
      </w:r>
      <w:r>
        <w:rPr>
          <w:highlight w:val="none"/>
        </w:rPr>
        <w:t xml:space="preserve">moc orgánov verejnej moci v súvislosti s financovaním poskytovaným </w:t>
      </w:r>
      <w:r>
        <w:rPr>
          <w:color w:val="auto"/>
          <w:highlight w:val="none"/>
        </w:rPr>
        <w:t>z Programu rozvoja vidieka SR 2014 – 202</w:t>
      </w:r>
      <w:r>
        <w:rPr>
          <w:rFonts w:hint="default"/>
          <w:color w:val="auto"/>
          <w:highlight w:val="none"/>
          <w:lang w:val="sk-SK"/>
        </w:rPr>
        <w:t>2</w:t>
      </w:r>
      <w:r>
        <w:rPr>
          <w:color w:val="auto"/>
          <w:highlight w:val="none"/>
        </w:rPr>
        <w:t>, o ktoré sa kupujúci uchádza, a v nadväznosti na túto skutočnosť vyhlasujú, že obe zmluvné strany poskytnú v plnom rozsahu súčinnosť pri výkone kontroly orgánmi verejnej moci podľa príslušných právnych predpisov (o</w:t>
      </w:r>
      <w:r>
        <w:rPr>
          <w:highlight w:val="none"/>
        </w:rPr>
        <w:t>právnenými zamestnancami poskytovateľa, Ministerstva pôdohospodárstva a rozvoja vidieka SR, inštitúcií Európskej únie a tiež zo strany ďalších oprávnených osôb v súlade s právnymi predpismi účinnými na území SR a právom Európskej únie, ktoré môžu vykonávať voči zmluvným stranám kontrolu či audit obchodných dokumentov a vecnú kontrolu v súvislosti s realizáciou zákazky (predmetu zmluvy). Predávajúci sa zaväzuje, že pokiaľ bude plniť predmet zmluvy (dodanie tovaru za podmienok dohodnutých zmluvou) prostredníctvom subdodávateľov, tak zabezpečí aby súčasťou ich vzájomného právneho vzťahu bolo aj poskytnutie súčinnosti v rozsahu podľa tohto odseku tohto článku zmluvy.</w:t>
      </w:r>
    </w:p>
    <w:p>
      <w:pPr>
        <w:pStyle w:val="12"/>
        <w:numPr>
          <w:ilvl w:val="1"/>
          <w:numId w:val="8"/>
        </w:numPr>
        <w:tabs>
          <w:tab w:val="left" w:pos="567"/>
          <w:tab w:val="clear" w:pos="360"/>
        </w:tabs>
        <w:autoSpaceDE/>
        <w:autoSpaceDN/>
        <w:adjustRightInd/>
        <w:ind w:left="567" w:hanging="567"/>
        <w:jc w:val="both"/>
        <w:rPr>
          <w:color w:val="auto"/>
          <w:highlight w:val="none"/>
        </w:rPr>
      </w:pPr>
      <w:r>
        <w:rPr>
          <w:highlight w:val="none"/>
        </w:rPr>
        <w:t xml:space="preserve">Predávajúci vyhlasuje, že zmluva je súladná s usmernením Pôdohospodárskej platobnej agentúry č. 8/2017 k obstarávaniu tovarov, stavebných prác a služieb financovaných z PRV SR 2014 – </w:t>
      </w:r>
      <w:r>
        <w:rPr>
          <w:highlight w:val="none"/>
          <w:lang w:val="sk-SK"/>
        </w:rPr>
        <w:t>2022</w:t>
      </w:r>
      <w:r>
        <w:rPr>
          <w:highlight w:val="none"/>
        </w:rPr>
        <w:t xml:space="preserve"> v znení aktualizácie č. 4, Výzvou na predkladanie ponúk, v rámci ktorej predložil cenovú ponuku (Príloha č. 1 zmluvy) s technickou špecifikáciou. Zmluvné strany sa dohodli, že pre prípad nepravdivosti vyhlásenia predávajúceho podľa tohto odseku tohto článku zmluvy má kupujúci nárok na zmluvnú pokutu vo výške ............... Eur, ktorá je rozdielom v ponukovej kúpnej cene podľa cenovej ponuky (podľa prílohy č. 1 zmluvy) a cenovej ponuky uchádzača v obstaraní na dodanie tovaru, ktorý sa umiestnil ako druhý v poradí. Zmluvné strany vyhlasujú, že túto sankciu považujú za primeranú.</w:t>
      </w:r>
    </w:p>
    <w:p>
      <w:pPr>
        <w:pStyle w:val="12"/>
        <w:jc w:val="center"/>
        <w:rPr>
          <w:color w:val="auto"/>
          <w:sz w:val="12"/>
          <w:szCs w:val="12"/>
          <w:highlight w:val="none"/>
        </w:rPr>
      </w:pPr>
    </w:p>
    <w:p>
      <w:pPr>
        <w:pStyle w:val="12"/>
        <w:jc w:val="center"/>
        <w:rPr>
          <w:b/>
          <w:color w:val="auto"/>
          <w:sz w:val="28"/>
          <w:szCs w:val="28"/>
          <w:highlight w:val="none"/>
        </w:rPr>
      </w:pPr>
    </w:p>
    <w:p>
      <w:pPr>
        <w:pStyle w:val="12"/>
        <w:jc w:val="center"/>
        <w:rPr>
          <w:b/>
          <w:color w:val="auto"/>
          <w:sz w:val="28"/>
          <w:szCs w:val="28"/>
          <w:highlight w:val="none"/>
        </w:rPr>
      </w:pPr>
      <w:r>
        <w:rPr>
          <w:b/>
          <w:color w:val="auto"/>
          <w:sz w:val="28"/>
          <w:szCs w:val="28"/>
          <w:highlight w:val="none"/>
        </w:rPr>
        <w:t>11. Záverečné ustanovenia</w:t>
      </w:r>
    </w:p>
    <w:p>
      <w:pPr>
        <w:pStyle w:val="12"/>
        <w:jc w:val="center"/>
        <w:rPr>
          <w:color w:val="auto"/>
          <w:sz w:val="12"/>
          <w:szCs w:val="12"/>
          <w:highlight w:val="none"/>
        </w:rPr>
      </w:pPr>
    </w:p>
    <w:p>
      <w:pPr>
        <w:pStyle w:val="12"/>
        <w:jc w:val="center"/>
        <w:rPr>
          <w:color w:val="auto"/>
          <w:sz w:val="12"/>
          <w:szCs w:val="12"/>
          <w:highlight w:val="none"/>
        </w:rPr>
      </w:pPr>
    </w:p>
    <w:p>
      <w:pPr>
        <w:pStyle w:val="12"/>
        <w:numPr>
          <w:ilvl w:val="1"/>
          <w:numId w:val="10"/>
        </w:numPr>
        <w:tabs>
          <w:tab w:val="clear" w:pos="360"/>
        </w:tabs>
        <w:autoSpaceDE/>
        <w:autoSpaceDN/>
        <w:adjustRightInd/>
        <w:ind w:left="567" w:hanging="567"/>
        <w:jc w:val="both"/>
        <w:rPr>
          <w:color w:val="auto"/>
          <w:highlight w:val="none"/>
        </w:rPr>
      </w:pPr>
      <w:r>
        <w:rPr>
          <w:bCs/>
          <w:highlight w:val="none"/>
        </w:rPr>
        <w:t xml:space="preserve">Zmluvu možno meniť a dopĺňať len formou písomných dodatkov podpísaných oprávnenými zástupcami obidvoch zmluvných strán. Návrhy dodatkov sú oprávnené podávať obidve zmluvné strany. </w:t>
      </w:r>
    </w:p>
    <w:p>
      <w:pPr>
        <w:pStyle w:val="12"/>
        <w:numPr>
          <w:ilvl w:val="1"/>
          <w:numId w:val="10"/>
        </w:numPr>
        <w:tabs>
          <w:tab w:val="clear" w:pos="360"/>
        </w:tabs>
        <w:autoSpaceDE/>
        <w:autoSpaceDN/>
        <w:adjustRightInd/>
        <w:ind w:left="567" w:hanging="567"/>
        <w:jc w:val="both"/>
        <w:rPr>
          <w:color w:val="auto"/>
          <w:highlight w:val="none"/>
        </w:rPr>
      </w:pPr>
      <w:r>
        <w:rPr>
          <w:highlight w:val="none"/>
        </w:rPr>
        <w:t>Zmluvné strany sa zaväzujú, že prípadné spory vyplývajúce zo zmluvy budú riešiť dobromyseľne vzájomným rokovaním. Ak sa nedosiahne dohoda v sporných otázkach, bude spor predložený k rozhodnutiu príslušnému všeobecnému súdu podľa zákona č. 160/2015 Z. z. Civilný sporový poriadok v.z.n.p.</w:t>
      </w:r>
    </w:p>
    <w:p>
      <w:pPr>
        <w:pStyle w:val="12"/>
        <w:numPr>
          <w:ilvl w:val="1"/>
          <w:numId w:val="10"/>
        </w:numPr>
        <w:tabs>
          <w:tab w:val="clear" w:pos="360"/>
        </w:tabs>
        <w:autoSpaceDE/>
        <w:autoSpaceDN/>
        <w:adjustRightInd/>
        <w:ind w:left="567" w:hanging="567"/>
        <w:jc w:val="both"/>
        <w:rPr>
          <w:color w:val="auto"/>
          <w:highlight w:val="none"/>
        </w:rPr>
      </w:pPr>
      <w:r>
        <w:rPr>
          <w:bCs/>
          <w:highlight w:val="none"/>
        </w:rPr>
        <w:t>Zmenu obchodného mena, sídla, DIČ, právnej formy, adresy pre poštovú komunikáciu, čísla účtu, telefónnych čísiel, e–mailovej adresy a osoby oprávnenej prevziať tovar za kupujúceho nie je potrebné vykonať samostatným dodatkom, postačuje jednostranné písomné oznámenie týchto skutočností druhej zmluvnej strane, ktoré bude podpísané oprávnenými zástupcami konajúcej zmluvnej strany. Zmluvné strany sa zaväzujú, že každú zmenu údajov uvedených v predchádzajúcej vete oznámia druhej zmluvnej strane do 10 dní, odkedy ku zmene došlo.</w:t>
      </w:r>
    </w:p>
    <w:p>
      <w:pPr>
        <w:pStyle w:val="12"/>
        <w:numPr>
          <w:ilvl w:val="1"/>
          <w:numId w:val="10"/>
        </w:numPr>
        <w:tabs>
          <w:tab w:val="clear" w:pos="360"/>
        </w:tabs>
        <w:autoSpaceDE/>
        <w:autoSpaceDN/>
        <w:adjustRightInd/>
        <w:ind w:left="567" w:hanging="567"/>
        <w:jc w:val="both"/>
        <w:rPr>
          <w:color w:val="auto"/>
          <w:highlight w:val="none"/>
        </w:rPr>
      </w:pPr>
      <w:r>
        <w:rPr>
          <w:highlight w:val="none"/>
        </w:rPr>
        <w:t>Do plynutia lehôt počítaných na dni sa nezaratúva deň rozhodujúcej udalosti. Listiny zasielané medzi zmluvnými stranami prostredníctvom poštového podniku sa považujú za doručené aj v prípade, ak sa zásielka vráti odosielateľovi s reláciou poštového podniku „</w:t>
      </w:r>
      <w:r>
        <w:rPr>
          <w:i/>
          <w:highlight w:val="none"/>
        </w:rPr>
        <w:t>Adresát neznámy</w:t>
      </w:r>
      <w:r>
        <w:rPr>
          <w:highlight w:val="none"/>
        </w:rPr>
        <w:t>“ alebo „</w:t>
      </w:r>
      <w:r>
        <w:rPr>
          <w:i/>
          <w:highlight w:val="none"/>
        </w:rPr>
        <w:t>Neprevzaté v odbernej lehote</w:t>
      </w:r>
      <w:r>
        <w:rPr>
          <w:highlight w:val="none"/>
        </w:rPr>
        <w:t>“, alebo ak ju adresát odmietol prevziať, a to dňom, keď sa zásielka vrátila odosielajúcej zmluvnej strane s príslušnou reláciou poštového podniku. Elektronicky zasielané dokumenty sa považujú za doručené dňom ich odoslania.</w:t>
      </w:r>
    </w:p>
    <w:p>
      <w:pPr>
        <w:pStyle w:val="12"/>
        <w:numPr>
          <w:ilvl w:val="1"/>
          <w:numId w:val="10"/>
        </w:numPr>
        <w:tabs>
          <w:tab w:val="clear" w:pos="360"/>
        </w:tabs>
        <w:autoSpaceDE/>
        <w:autoSpaceDN/>
        <w:adjustRightInd/>
        <w:ind w:left="567" w:hanging="567"/>
        <w:jc w:val="both"/>
        <w:rPr>
          <w:color w:val="auto"/>
          <w:highlight w:val="none"/>
        </w:rPr>
      </w:pPr>
      <w:r>
        <w:rPr>
          <w:highlight w:val="none"/>
        </w:rPr>
        <w:t>Predávajúci vyhlasuje, že si splnil oznamovaciu povinnosť mu vyplývajúcu z § 6 zákona o DPH a že v prípade účtu vedeného v peňažnom ústave, ktorý je špecifikovaný v čl. 1 zmluvy sa jedná o účet vedený u poskytovateľa platobných služieb alebo u zahraničného poskytovateľa platobných služieb používaný na výkon podnikateľskej činnosti, ktorý bol predpísaným spôsobom oznámený Finančnému riaditeľstvu Slovenskej republiky.</w:t>
      </w:r>
    </w:p>
    <w:p>
      <w:pPr>
        <w:pStyle w:val="12"/>
        <w:numPr>
          <w:ilvl w:val="1"/>
          <w:numId w:val="10"/>
        </w:numPr>
        <w:tabs>
          <w:tab w:val="clear" w:pos="360"/>
        </w:tabs>
        <w:autoSpaceDE/>
        <w:autoSpaceDN/>
        <w:adjustRightInd/>
        <w:ind w:left="567" w:hanging="567"/>
        <w:jc w:val="both"/>
        <w:rPr>
          <w:color w:val="auto"/>
          <w:highlight w:val="none"/>
        </w:rPr>
      </w:pPr>
      <w:r>
        <w:rPr>
          <w:bCs/>
          <w:highlight w:val="none"/>
        </w:rPr>
        <w:t>Zmluva nadobúda platnosť a účinnosť dňom jej podpisu oboma zmluvnými stranami a je vyhotovená v 3 rovnopisoch, pričom predávajúci obdrží 1 rovnopis zmluvy a kupujúci 2 rovnopisy zmluvy.</w:t>
      </w:r>
    </w:p>
    <w:p>
      <w:pPr>
        <w:pStyle w:val="12"/>
        <w:numPr>
          <w:ilvl w:val="1"/>
          <w:numId w:val="10"/>
        </w:numPr>
        <w:tabs>
          <w:tab w:val="clear" w:pos="360"/>
        </w:tabs>
        <w:autoSpaceDE/>
        <w:autoSpaceDN/>
        <w:adjustRightInd/>
        <w:ind w:left="567" w:hanging="567"/>
        <w:jc w:val="both"/>
        <w:rPr>
          <w:color w:val="auto"/>
          <w:highlight w:val="none"/>
        </w:rPr>
      </w:pPr>
      <w:r>
        <w:rPr>
          <w:bCs/>
          <w:highlight w:val="none"/>
        </w:rPr>
        <w:t>Zmluvné strany potvrdzujú, že si zmluvu prečítali, s jej obsahom súhlasia, nakoľko je prejavom ich slobodnej a vážnej vôle zbavenej akýchkoľvek omylov, na znak čoho ju aj vlastnoručne podpísali.</w:t>
      </w:r>
      <w:r>
        <w:rPr>
          <w:color w:val="auto"/>
          <w:highlight w:val="none"/>
        </w:rPr>
        <w:tab/>
      </w:r>
      <w:r>
        <w:rPr>
          <w:color w:val="auto"/>
          <w:highlight w:val="none"/>
        </w:rPr>
        <w:tab/>
      </w:r>
    </w:p>
    <w:p>
      <w:pPr>
        <w:pStyle w:val="12"/>
        <w:ind w:left="360"/>
        <w:rPr>
          <w:color w:val="auto"/>
          <w:highlight w:val="none"/>
        </w:rPr>
      </w:pPr>
    </w:p>
    <w:p>
      <w:pPr>
        <w:pStyle w:val="12"/>
        <w:ind w:left="360"/>
        <w:rPr>
          <w:color w:val="auto"/>
          <w:highlight w:val="none"/>
        </w:rPr>
      </w:pPr>
      <w:r>
        <w:rPr>
          <w:color w:val="auto"/>
          <w:highlight w:val="none"/>
        </w:rPr>
        <w:tab/>
      </w:r>
      <w:r>
        <w:rPr>
          <w:color w:val="auto"/>
          <w:highlight w:val="none"/>
        </w:rPr>
        <w:t xml:space="preserve">Príloha č. 1: </w:t>
      </w:r>
      <w:r>
        <w:rPr>
          <w:color w:val="auto"/>
          <w:highlight w:val="none"/>
        </w:rPr>
        <w:tab/>
      </w:r>
      <w:r>
        <w:rPr>
          <w:color w:val="auto"/>
          <w:highlight w:val="none"/>
        </w:rPr>
        <w:t>Cenová ponuka (s technickou špecifikáciou tovaru)</w:t>
      </w:r>
    </w:p>
    <w:p>
      <w:pPr>
        <w:pStyle w:val="12"/>
        <w:ind w:left="360" w:firstLine="360" w:firstLineChars="150"/>
        <w:rPr>
          <w:rFonts w:hint="default"/>
          <w:color w:val="auto"/>
          <w:highlight w:val="none"/>
          <w:lang w:val="sk-SK"/>
        </w:rPr>
      </w:pPr>
      <w:r>
        <w:rPr>
          <w:color w:val="auto"/>
          <w:highlight w:val="none"/>
        </w:rPr>
        <w:t xml:space="preserve">Príloha č. </w:t>
      </w:r>
      <w:r>
        <w:rPr>
          <w:rFonts w:hint="default"/>
          <w:color w:val="auto"/>
          <w:highlight w:val="none"/>
          <w:lang w:val="sk-SK"/>
        </w:rPr>
        <w:t>2</w:t>
      </w:r>
      <w:r>
        <w:rPr>
          <w:color w:val="auto"/>
          <w:highlight w:val="none"/>
        </w:rPr>
        <w:t xml:space="preserve">: </w:t>
      </w:r>
      <w:r>
        <w:rPr>
          <w:color w:val="auto"/>
          <w:highlight w:val="none"/>
        </w:rPr>
        <w:tab/>
      </w:r>
      <w:r>
        <w:rPr>
          <w:rFonts w:hint="default"/>
          <w:color w:val="auto"/>
          <w:highlight w:val="none"/>
          <w:lang w:val="sk-SK"/>
        </w:rPr>
        <w:t>Zoznam subdodávateľov</w:t>
      </w:r>
    </w:p>
    <w:p>
      <w:pPr>
        <w:pStyle w:val="12"/>
        <w:ind w:left="360"/>
        <w:rPr>
          <w:color w:val="auto"/>
          <w:highlight w:val="none"/>
        </w:rPr>
      </w:pPr>
    </w:p>
    <w:p>
      <w:pPr>
        <w:pStyle w:val="12"/>
        <w:ind w:left="360"/>
        <w:rPr>
          <w:color w:val="auto"/>
          <w:highlight w:val="none"/>
        </w:rPr>
      </w:pPr>
    </w:p>
    <w:p>
      <w:pPr>
        <w:pStyle w:val="12"/>
        <w:ind w:left="360"/>
        <w:rPr>
          <w:color w:val="auto"/>
          <w:highlight w:val="none"/>
        </w:rPr>
      </w:pPr>
    </w:p>
    <w:p>
      <w:pPr>
        <w:pStyle w:val="12"/>
        <w:ind w:left="360"/>
        <w:rPr>
          <w:color w:val="auto"/>
          <w:highlight w:val="none"/>
        </w:rPr>
      </w:pPr>
    </w:p>
    <w:p>
      <w:pPr>
        <w:pStyle w:val="12"/>
        <w:rPr>
          <w:rFonts w:hint="default"/>
          <w:color w:val="auto"/>
          <w:highlight w:val="none"/>
          <w:lang w:val="sk-SK"/>
        </w:rPr>
      </w:pPr>
      <w:r>
        <w:rPr>
          <w:color w:val="auto"/>
          <w:highlight w:val="none"/>
        </w:rPr>
        <w:tab/>
      </w:r>
      <w:r>
        <w:rPr>
          <w:color w:val="auto"/>
          <w:highlight w:val="none"/>
        </w:rPr>
        <w:t>V............................ dňa: ............202</w:t>
      </w:r>
      <w:r>
        <w:rPr>
          <w:rFonts w:hint="default"/>
          <w:color w:val="auto"/>
          <w:highlight w:val="none"/>
          <w:lang w:val="sk-SK"/>
        </w:rPr>
        <w:t>4</w:t>
      </w:r>
      <w:r>
        <w:rPr>
          <w:color w:val="auto"/>
          <w:highlight w:val="none"/>
        </w:rPr>
        <w:tab/>
      </w:r>
      <w:r>
        <w:rPr>
          <w:color w:val="auto"/>
          <w:highlight w:val="none"/>
        </w:rPr>
        <w:t>V ......................... dňa .................... 202</w:t>
      </w:r>
      <w:r>
        <w:rPr>
          <w:rFonts w:hint="default"/>
          <w:color w:val="auto"/>
          <w:highlight w:val="none"/>
          <w:lang w:val="sk-SK"/>
        </w:rPr>
        <w:t>4</w:t>
      </w:r>
    </w:p>
    <w:p>
      <w:pPr>
        <w:pStyle w:val="12"/>
        <w:rPr>
          <w:color w:val="auto"/>
          <w:highlight w:val="none"/>
        </w:rPr>
      </w:pPr>
    </w:p>
    <w:p>
      <w:pPr>
        <w:pStyle w:val="12"/>
        <w:rPr>
          <w:color w:val="auto"/>
          <w:highlight w:val="none"/>
        </w:rPr>
      </w:pPr>
      <w:r>
        <w:rPr>
          <w:color w:val="auto"/>
          <w:highlight w:val="none"/>
        </w:rPr>
        <w:tab/>
      </w:r>
      <w:r>
        <w:rPr>
          <w:color w:val="auto"/>
          <w:highlight w:val="none"/>
        </w:rPr>
        <w:t>Za predávajúceho:</w:t>
      </w:r>
      <w:r>
        <w:rPr>
          <w:color w:val="auto"/>
          <w:highlight w:val="none"/>
        </w:rPr>
        <w:tab/>
      </w:r>
      <w:r>
        <w:rPr>
          <w:color w:val="auto"/>
          <w:highlight w:val="none"/>
        </w:rPr>
        <w:tab/>
      </w:r>
      <w:r>
        <w:rPr>
          <w:color w:val="auto"/>
          <w:highlight w:val="none"/>
        </w:rPr>
        <w:tab/>
      </w:r>
      <w:r>
        <w:rPr>
          <w:color w:val="auto"/>
          <w:highlight w:val="none"/>
        </w:rPr>
        <w:tab/>
      </w:r>
      <w:r>
        <w:rPr>
          <w:color w:val="auto"/>
          <w:highlight w:val="none"/>
        </w:rPr>
        <w:t>Za kupujúceho:</w:t>
      </w:r>
    </w:p>
    <w:p>
      <w:pPr>
        <w:pStyle w:val="12"/>
        <w:rPr>
          <w:b/>
          <w:color w:val="auto"/>
          <w:highlight w:val="none"/>
        </w:rPr>
      </w:pPr>
      <w:r>
        <w:rPr>
          <w:b/>
          <w:color w:val="auto"/>
          <w:highlight w:val="none"/>
        </w:rPr>
        <w:tab/>
      </w:r>
      <w:r>
        <w:rPr>
          <w:b/>
          <w:color w:val="auto"/>
          <w:highlight w:val="none"/>
        </w:rPr>
        <w:tab/>
      </w:r>
      <w:r>
        <w:rPr>
          <w:b/>
          <w:color w:val="auto"/>
          <w:highlight w:val="none"/>
        </w:rPr>
        <w:tab/>
      </w:r>
      <w:r>
        <w:rPr>
          <w:b/>
          <w:color w:val="auto"/>
          <w:highlight w:val="none"/>
        </w:rPr>
        <w:tab/>
      </w:r>
      <w:r>
        <w:rPr>
          <w:b/>
          <w:color w:val="auto"/>
          <w:highlight w:val="none"/>
        </w:rPr>
        <w:tab/>
      </w:r>
      <w:r>
        <w:rPr>
          <w:b/>
          <w:color w:val="auto"/>
          <w:highlight w:val="none"/>
        </w:rPr>
        <w:tab/>
      </w:r>
      <w:r>
        <w:rPr>
          <w:b/>
          <w:color w:val="auto"/>
          <w:highlight w:val="none"/>
        </w:rPr>
        <w:tab/>
      </w:r>
      <w:r>
        <w:rPr>
          <w:b/>
          <w:color w:val="auto"/>
          <w:highlight w:val="none"/>
        </w:rPr>
        <w:t>Limas s.r.o.</w:t>
      </w:r>
    </w:p>
    <w:p>
      <w:pPr>
        <w:pStyle w:val="12"/>
        <w:rPr>
          <w:b/>
          <w:color w:val="auto"/>
          <w:highlight w:val="none"/>
        </w:rPr>
      </w:pPr>
    </w:p>
    <w:p>
      <w:pPr>
        <w:pStyle w:val="12"/>
        <w:rPr>
          <w:color w:val="auto"/>
          <w:highlight w:val="none"/>
        </w:rPr>
      </w:pPr>
    </w:p>
    <w:p>
      <w:pPr>
        <w:pStyle w:val="12"/>
        <w:rPr>
          <w:color w:val="auto"/>
          <w:highlight w:val="none"/>
        </w:rPr>
      </w:pPr>
    </w:p>
    <w:p>
      <w:pPr>
        <w:pStyle w:val="12"/>
        <w:rPr>
          <w:color w:val="auto"/>
          <w:highlight w:val="none"/>
        </w:rPr>
      </w:pPr>
      <w:r>
        <w:rPr>
          <w:color w:val="auto"/>
          <w:highlight w:val="none"/>
        </w:rPr>
        <w:tab/>
      </w:r>
      <w:r>
        <w:rPr>
          <w:color w:val="auto"/>
          <w:highlight w:val="none"/>
        </w:rPr>
        <w:t>............................................</w:t>
      </w:r>
      <w:r>
        <w:rPr>
          <w:color w:val="auto"/>
          <w:highlight w:val="none"/>
        </w:rPr>
        <w:tab/>
      </w:r>
      <w:r>
        <w:rPr>
          <w:color w:val="auto"/>
          <w:highlight w:val="none"/>
        </w:rPr>
        <w:tab/>
      </w:r>
      <w:r>
        <w:rPr>
          <w:color w:val="auto"/>
          <w:highlight w:val="none"/>
        </w:rPr>
        <w:tab/>
      </w:r>
      <w:r>
        <w:rPr>
          <w:color w:val="auto"/>
          <w:highlight w:val="none"/>
        </w:rPr>
        <w:t>...................................................</w:t>
      </w:r>
    </w:p>
    <w:p>
      <w:pPr>
        <w:pStyle w:val="12"/>
        <w:rPr>
          <w:color w:val="auto"/>
          <w:highlight w:val="none"/>
        </w:rPr>
      </w:pPr>
      <w:r>
        <w:rPr>
          <w:color w:val="auto"/>
          <w:highlight w:val="none"/>
        </w:rPr>
        <w:tab/>
      </w:r>
      <w:r>
        <w:rPr>
          <w:color w:val="auto"/>
          <w:highlight w:val="none"/>
        </w:rPr>
        <w:tab/>
      </w:r>
      <w:r>
        <w:rPr>
          <w:color w:val="auto"/>
          <w:highlight w:val="none"/>
        </w:rPr>
        <w:tab/>
      </w:r>
      <w:r>
        <w:rPr>
          <w:color w:val="auto"/>
          <w:highlight w:val="none"/>
        </w:rPr>
        <w:tab/>
      </w:r>
      <w:r>
        <w:rPr>
          <w:color w:val="auto"/>
          <w:highlight w:val="none"/>
        </w:rPr>
        <w:tab/>
      </w:r>
      <w:r>
        <w:rPr>
          <w:color w:val="auto"/>
          <w:highlight w:val="none"/>
        </w:rPr>
        <w:tab/>
      </w:r>
      <w:r>
        <w:rPr>
          <w:color w:val="auto"/>
          <w:highlight w:val="none"/>
        </w:rPr>
        <w:tab/>
      </w:r>
      <w:r>
        <w:rPr>
          <w:color w:val="auto"/>
          <w:highlight w:val="none"/>
        </w:rPr>
        <w:t>Stanislav Lihocký</w:t>
      </w:r>
    </w:p>
    <w:p>
      <w:pPr>
        <w:pStyle w:val="12"/>
        <w:rPr>
          <w:color w:val="auto"/>
          <w:highlight w:val="none"/>
        </w:rPr>
      </w:pPr>
      <w:r>
        <w:rPr>
          <w:color w:val="auto"/>
          <w:highlight w:val="none"/>
        </w:rPr>
        <w:tab/>
      </w:r>
      <w:r>
        <w:rPr>
          <w:color w:val="auto"/>
          <w:highlight w:val="none"/>
        </w:rPr>
        <w:tab/>
      </w:r>
      <w:r>
        <w:rPr>
          <w:color w:val="auto"/>
          <w:highlight w:val="none"/>
        </w:rPr>
        <w:tab/>
      </w:r>
      <w:r>
        <w:rPr>
          <w:color w:val="auto"/>
          <w:highlight w:val="none"/>
        </w:rPr>
        <w:tab/>
      </w:r>
      <w:r>
        <w:rPr>
          <w:color w:val="auto"/>
          <w:highlight w:val="none"/>
        </w:rPr>
        <w:tab/>
      </w:r>
      <w:r>
        <w:rPr>
          <w:color w:val="auto"/>
          <w:highlight w:val="none"/>
        </w:rPr>
        <w:tab/>
      </w:r>
      <w:r>
        <w:rPr>
          <w:color w:val="auto"/>
          <w:highlight w:val="none"/>
        </w:rPr>
        <w:tab/>
      </w:r>
      <w:r>
        <w:rPr>
          <w:color w:val="auto"/>
          <w:highlight w:val="none"/>
        </w:rPr>
        <w:t>konateľ spoločnosti</w:t>
      </w:r>
    </w:p>
    <w:p>
      <w:pPr>
        <w:pStyle w:val="12"/>
        <w:rPr>
          <w:color w:val="auto"/>
          <w:highlight w:val="none"/>
        </w:rPr>
      </w:pPr>
      <w:r>
        <w:rPr>
          <w:color w:val="auto"/>
          <w:highlight w:val="none"/>
        </w:rPr>
        <w:t> </w:t>
      </w:r>
    </w:p>
    <w:sectPr>
      <w:footerReference r:id="rId5" w:type="default"/>
      <w:pgSz w:w="12240" w:h="15840"/>
      <w:pgMar w:top="1417" w:right="1417" w:bottom="1417" w:left="1417" w:header="708" w:footer="708" w:gutter="0"/>
      <w:cols w:space="708"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egoe UI">
    <w:panose1 w:val="020B0502040204020203"/>
    <w:charset w:val="EE"/>
    <w:family w:val="swiss"/>
    <w:pitch w:val="default"/>
    <w:sig w:usb0="E4002EFF" w:usb1="C000E47F" w:usb2="00000009" w:usb3="00000000" w:csb0="200001FF" w:csb1="0000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fldChar w:fldCharType="begin"/>
    </w:r>
    <w:r>
      <w:instrText xml:space="preserve">PAGE   \* MERGEFORMAT</w:instrText>
    </w:r>
    <w:r>
      <w:fldChar w:fldCharType="separate"/>
    </w:r>
    <w:r>
      <w:t>1</w:t>
    </w:r>
    <w:r>
      <w:fldChar w:fldCharType="end"/>
    </w:r>
  </w:p>
  <w:p>
    <w:pPr>
      <w:pStyle w:val="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FA6D5D"/>
    <w:multiLevelType w:val="multilevel"/>
    <w:tmpl w:val="18FA6D5D"/>
    <w:lvl w:ilvl="0" w:tentative="0">
      <w:start w:val="4"/>
      <w:numFmt w:val="decimal"/>
      <w:lvlText w:val="%1."/>
      <w:lvlJc w:val="left"/>
      <w:pPr>
        <w:tabs>
          <w:tab w:val="left" w:pos="360"/>
        </w:tabs>
        <w:ind w:left="360" w:hanging="360"/>
      </w:pPr>
      <w:rPr>
        <w:rFonts w:hint="default"/>
      </w:rPr>
    </w:lvl>
    <w:lvl w:ilvl="1" w:tentative="0">
      <w:start w:val="2"/>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720"/>
        </w:tabs>
        <w:ind w:left="720" w:hanging="72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08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1">
    <w:nsid w:val="1CA47BD1"/>
    <w:multiLevelType w:val="multilevel"/>
    <w:tmpl w:val="1CA47BD1"/>
    <w:lvl w:ilvl="0" w:tentative="0">
      <w:start w:val="5"/>
      <w:numFmt w:val="decimal"/>
      <w:lvlText w:val="%1."/>
      <w:lvlJc w:val="left"/>
      <w:pPr>
        <w:tabs>
          <w:tab w:val="left" w:pos="540"/>
        </w:tabs>
        <w:ind w:left="540" w:hanging="540"/>
      </w:pPr>
      <w:rPr>
        <w:rFonts w:hint="default"/>
        <w:color w:val="000000"/>
      </w:rPr>
    </w:lvl>
    <w:lvl w:ilvl="1" w:tentative="0">
      <w:start w:val="1"/>
      <w:numFmt w:val="decimal"/>
      <w:lvlText w:val="6.%2."/>
      <w:lvlJc w:val="left"/>
      <w:pPr>
        <w:tabs>
          <w:tab w:val="left" w:pos="540"/>
        </w:tabs>
        <w:ind w:left="540" w:hanging="540"/>
      </w:pPr>
      <w:rPr>
        <w:rFonts w:hint="default"/>
        <w:color w:val="000000"/>
      </w:rPr>
    </w:lvl>
    <w:lvl w:ilvl="2" w:tentative="0">
      <w:start w:val="1"/>
      <w:numFmt w:val="decimal"/>
      <w:lvlText w:val="%1.%2.%3."/>
      <w:lvlJc w:val="left"/>
      <w:pPr>
        <w:tabs>
          <w:tab w:val="left" w:pos="720"/>
        </w:tabs>
        <w:ind w:left="720" w:hanging="720"/>
      </w:pPr>
      <w:rPr>
        <w:rFonts w:hint="default"/>
        <w:color w:val="000000"/>
      </w:rPr>
    </w:lvl>
    <w:lvl w:ilvl="3" w:tentative="0">
      <w:start w:val="1"/>
      <w:numFmt w:val="decimal"/>
      <w:lvlText w:val="%1.%2.%3.%4."/>
      <w:lvlJc w:val="left"/>
      <w:pPr>
        <w:tabs>
          <w:tab w:val="left" w:pos="720"/>
        </w:tabs>
        <w:ind w:left="720" w:hanging="720"/>
      </w:pPr>
      <w:rPr>
        <w:rFonts w:hint="default"/>
        <w:color w:val="000000"/>
      </w:rPr>
    </w:lvl>
    <w:lvl w:ilvl="4" w:tentative="0">
      <w:start w:val="1"/>
      <w:numFmt w:val="decimal"/>
      <w:lvlText w:val="%1.%2.%3.%4.%5."/>
      <w:lvlJc w:val="left"/>
      <w:pPr>
        <w:tabs>
          <w:tab w:val="left" w:pos="1080"/>
        </w:tabs>
        <w:ind w:left="1080" w:hanging="1080"/>
      </w:pPr>
      <w:rPr>
        <w:rFonts w:hint="default"/>
        <w:color w:val="000000"/>
      </w:rPr>
    </w:lvl>
    <w:lvl w:ilvl="5" w:tentative="0">
      <w:start w:val="1"/>
      <w:numFmt w:val="decimal"/>
      <w:lvlText w:val="%1.%2.%3.%4.%5.%6."/>
      <w:lvlJc w:val="left"/>
      <w:pPr>
        <w:tabs>
          <w:tab w:val="left" w:pos="1080"/>
        </w:tabs>
        <w:ind w:left="1080" w:hanging="1080"/>
      </w:pPr>
      <w:rPr>
        <w:rFonts w:hint="default"/>
        <w:color w:val="000000"/>
      </w:rPr>
    </w:lvl>
    <w:lvl w:ilvl="6" w:tentative="0">
      <w:start w:val="1"/>
      <w:numFmt w:val="decimal"/>
      <w:lvlText w:val="%1.%2.%3.%4.%5.%6.%7."/>
      <w:lvlJc w:val="left"/>
      <w:pPr>
        <w:tabs>
          <w:tab w:val="left" w:pos="1440"/>
        </w:tabs>
        <w:ind w:left="1440" w:hanging="1440"/>
      </w:pPr>
      <w:rPr>
        <w:rFonts w:hint="default"/>
        <w:color w:val="000000"/>
      </w:rPr>
    </w:lvl>
    <w:lvl w:ilvl="7" w:tentative="0">
      <w:start w:val="1"/>
      <w:numFmt w:val="decimal"/>
      <w:lvlText w:val="%1.%2.%3.%4.%5.%6.%7.%8."/>
      <w:lvlJc w:val="left"/>
      <w:pPr>
        <w:tabs>
          <w:tab w:val="left" w:pos="1440"/>
        </w:tabs>
        <w:ind w:left="1440" w:hanging="1440"/>
      </w:pPr>
      <w:rPr>
        <w:rFonts w:hint="default"/>
        <w:color w:val="000000"/>
      </w:rPr>
    </w:lvl>
    <w:lvl w:ilvl="8" w:tentative="0">
      <w:start w:val="1"/>
      <w:numFmt w:val="decimal"/>
      <w:lvlText w:val="%1.%2.%3.%4.%5.%6.%7.%8.%9."/>
      <w:lvlJc w:val="left"/>
      <w:pPr>
        <w:tabs>
          <w:tab w:val="left" w:pos="1800"/>
        </w:tabs>
        <w:ind w:left="1800" w:hanging="1800"/>
      </w:pPr>
      <w:rPr>
        <w:rFonts w:hint="default"/>
        <w:color w:val="000000"/>
      </w:rPr>
    </w:lvl>
  </w:abstractNum>
  <w:abstractNum w:abstractNumId="2">
    <w:nsid w:val="2BC269DB"/>
    <w:multiLevelType w:val="multilevel"/>
    <w:tmpl w:val="2BC269DB"/>
    <w:lvl w:ilvl="0" w:tentative="0">
      <w:start w:val="6"/>
      <w:numFmt w:val="decimal"/>
      <w:lvlText w:val="%1."/>
      <w:lvlJc w:val="left"/>
      <w:pPr>
        <w:tabs>
          <w:tab w:val="left" w:pos="360"/>
        </w:tabs>
        <w:ind w:left="360" w:hanging="360"/>
      </w:pPr>
      <w:rPr>
        <w:rFonts w:hint="default"/>
        <w:color w:val="000000"/>
      </w:rPr>
    </w:lvl>
    <w:lvl w:ilvl="1" w:tentative="0">
      <w:start w:val="1"/>
      <w:numFmt w:val="decimal"/>
      <w:lvlText w:val="7.%2."/>
      <w:lvlJc w:val="left"/>
      <w:pPr>
        <w:tabs>
          <w:tab w:val="left" w:pos="360"/>
        </w:tabs>
        <w:ind w:left="360" w:hanging="360"/>
      </w:pPr>
      <w:rPr>
        <w:rFonts w:hint="default"/>
        <w:color w:val="000000"/>
      </w:rPr>
    </w:lvl>
    <w:lvl w:ilvl="2" w:tentative="0">
      <w:start w:val="1"/>
      <w:numFmt w:val="decimal"/>
      <w:lvlText w:val="%1.%2.%3."/>
      <w:lvlJc w:val="left"/>
      <w:pPr>
        <w:tabs>
          <w:tab w:val="left" w:pos="720"/>
        </w:tabs>
        <w:ind w:left="720" w:hanging="720"/>
      </w:pPr>
      <w:rPr>
        <w:rFonts w:hint="default"/>
        <w:color w:val="000000"/>
      </w:rPr>
    </w:lvl>
    <w:lvl w:ilvl="3" w:tentative="0">
      <w:start w:val="1"/>
      <w:numFmt w:val="decimal"/>
      <w:lvlText w:val="%1.%2.%3.%4."/>
      <w:lvlJc w:val="left"/>
      <w:pPr>
        <w:tabs>
          <w:tab w:val="left" w:pos="720"/>
        </w:tabs>
        <w:ind w:left="720" w:hanging="720"/>
      </w:pPr>
      <w:rPr>
        <w:rFonts w:hint="default"/>
        <w:color w:val="000000"/>
      </w:rPr>
    </w:lvl>
    <w:lvl w:ilvl="4" w:tentative="0">
      <w:start w:val="1"/>
      <w:numFmt w:val="decimal"/>
      <w:lvlText w:val="%1.%2.%3.%4.%5."/>
      <w:lvlJc w:val="left"/>
      <w:pPr>
        <w:tabs>
          <w:tab w:val="left" w:pos="1080"/>
        </w:tabs>
        <w:ind w:left="1080" w:hanging="1080"/>
      </w:pPr>
      <w:rPr>
        <w:rFonts w:hint="default"/>
        <w:color w:val="000000"/>
      </w:rPr>
    </w:lvl>
    <w:lvl w:ilvl="5" w:tentative="0">
      <w:start w:val="1"/>
      <w:numFmt w:val="decimal"/>
      <w:lvlText w:val="%1.%2.%3.%4.%5.%6."/>
      <w:lvlJc w:val="left"/>
      <w:pPr>
        <w:tabs>
          <w:tab w:val="left" w:pos="1080"/>
        </w:tabs>
        <w:ind w:left="1080" w:hanging="1080"/>
      </w:pPr>
      <w:rPr>
        <w:rFonts w:hint="default"/>
        <w:color w:val="000000"/>
      </w:rPr>
    </w:lvl>
    <w:lvl w:ilvl="6" w:tentative="0">
      <w:start w:val="1"/>
      <w:numFmt w:val="decimal"/>
      <w:lvlText w:val="%1.%2.%3.%4.%5.%6.%7."/>
      <w:lvlJc w:val="left"/>
      <w:pPr>
        <w:tabs>
          <w:tab w:val="left" w:pos="1440"/>
        </w:tabs>
        <w:ind w:left="1440" w:hanging="1440"/>
      </w:pPr>
      <w:rPr>
        <w:rFonts w:hint="default"/>
        <w:color w:val="000000"/>
      </w:rPr>
    </w:lvl>
    <w:lvl w:ilvl="7" w:tentative="0">
      <w:start w:val="1"/>
      <w:numFmt w:val="decimal"/>
      <w:lvlText w:val="%1.%2.%3.%4.%5.%6.%7.%8."/>
      <w:lvlJc w:val="left"/>
      <w:pPr>
        <w:tabs>
          <w:tab w:val="left" w:pos="1440"/>
        </w:tabs>
        <w:ind w:left="1440" w:hanging="1440"/>
      </w:pPr>
      <w:rPr>
        <w:rFonts w:hint="default"/>
        <w:color w:val="000000"/>
      </w:rPr>
    </w:lvl>
    <w:lvl w:ilvl="8" w:tentative="0">
      <w:start w:val="1"/>
      <w:numFmt w:val="decimal"/>
      <w:lvlText w:val="%1.%2.%3.%4.%5.%6.%7.%8.%9."/>
      <w:lvlJc w:val="left"/>
      <w:pPr>
        <w:tabs>
          <w:tab w:val="left" w:pos="1800"/>
        </w:tabs>
        <w:ind w:left="1800" w:hanging="1800"/>
      </w:pPr>
      <w:rPr>
        <w:rFonts w:hint="default"/>
        <w:color w:val="000000"/>
      </w:rPr>
    </w:lvl>
  </w:abstractNum>
  <w:abstractNum w:abstractNumId="3">
    <w:nsid w:val="31FC3BCE"/>
    <w:multiLevelType w:val="multilevel"/>
    <w:tmpl w:val="31FC3BCE"/>
    <w:lvl w:ilvl="0" w:tentative="0">
      <w:start w:val="1"/>
      <w:numFmt w:val="decimal"/>
      <w:lvlText w:val="%1."/>
      <w:lvlJc w:val="left"/>
      <w:pPr>
        <w:ind w:left="720" w:hanging="360"/>
      </w:pPr>
    </w:lvl>
    <w:lvl w:ilvl="1" w:tentative="0">
      <w:start w:val="1"/>
      <w:numFmt w:val="lowerRoman"/>
      <w:lvlText w:val="%2."/>
      <w:lvlJc w:val="righ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34E146B1"/>
    <w:multiLevelType w:val="multilevel"/>
    <w:tmpl w:val="34E146B1"/>
    <w:lvl w:ilvl="0" w:tentative="0">
      <w:start w:val="9"/>
      <w:numFmt w:val="decimal"/>
      <w:lvlText w:val="%1."/>
      <w:lvlJc w:val="left"/>
      <w:pPr>
        <w:tabs>
          <w:tab w:val="left" w:pos="360"/>
        </w:tabs>
        <w:ind w:left="360" w:hanging="360"/>
      </w:pPr>
      <w:rPr>
        <w:rFonts w:hint="default"/>
      </w:rPr>
    </w:lvl>
    <w:lvl w:ilvl="1" w:tentative="0">
      <w:start w:val="1"/>
      <w:numFmt w:val="decimal"/>
      <w:lvlText w:val="1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720"/>
        </w:tabs>
        <w:ind w:left="720" w:hanging="72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08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5">
    <w:nsid w:val="3B875CAF"/>
    <w:multiLevelType w:val="multilevel"/>
    <w:tmpl w:val="3B875CAF"/>
    <w:lvl w:ilvl="0" w:tentative="0">
      <w:start w:val="8"/>
      <w:numFmt w:val="decimal"/>
      <w:lvlText w:val="%1."/>
      <w:lvlJc w:val="left"/>
      <w:pPr>
        <w:tabs>
          <w:tab w:val="left" w:pos="360"/>
        </w:tabs>
        <w:ind w:left="360" w:hanging="360"/>
      </w:pPr>
      <w:rPr>
        <w:rFonts w:hint="default"/>
        <w:color w:val="000000"/>
      </w:rPr>
    </w:lvl>
    <w:lvl w:ilvl="1" w:tentative="0">
      <w:start w:val="1"/>
      <w:numFmt w:val="decimal"/>
      <w:lvlText w:val="9.%2."/>
      <w:lvlJc w:val="left"/>
      <w:pPr>
        <w:tabs>
          <w:tab w:val="left" w:pos="360"/>
        </w:tabs>
        <w:ind w:left="360" w:hanging="360"/>
      </w:pPr>
      <w:rPr>
        <w:rFonts w:hint="default"/>
        <w:color w:val="000000"/>
      </w:rPr>
    </w:lvl>
    <w:lvl w:ilvl="2" w:tentative="0">
      <w:start w:val="1"/>
      <w:numFmt w:val="decimal"/>
      <w:lvlText w:val="%1.%2.%3."/>
      <w:lvlJc w:val="left"/>
      <w:pPr>
        <w:tabs>
          <w:tab w:val="left" w:pos="720"/>
        </w:tabs>
        <w:ind w:left="720" w:hanging="720"/>
      </w:pPr>
      <w:rPr>
        <w:rFonts w:hint="default"/>
        <w:color w:val="000000"/>
      </w:rPr>
    </w:lvl>
    <w:lvl w:ilvl="3" w:tentative="0">
      <w:start w:val="1"/>
      <w:numFmt w:val="decimal"/>
      <w:lvlText w:val="%1.%2.%3.%4."/>
      <w:lvlJc w:val="left"/>
      <w:pPr>
        <w:tabs>
          <w:tab w:val="left" w:pos="720"/>
        </w:tabs>
        <w:ind w:left="720" w:hanging="720"/>
      </w:pPr>
      <w:rPr>
        <w:rFonts w:hint="default"/>
        <w:color w:val="000000"/>
      </w:rPr>
    </w:lvl>
    <w:lvl w:ilvl="4" w:tentative="0">
      <w:start w:val="1"/>
      <w:numFmt w:val="decimal"/>
      <w:lvlText w:val="%1.%2.%3.%4.%5."/>
      <w:lvlJc w:val="left"/>
      <w:pPr>
        <w:tabs>
          <w:tab w:val="left" w:pos="1080"/>
        </w:tabs>
        <w:ind w:left="1080" w:hanging="1080"/>
      </w:pPr>
      <w:rPr>
        <w:rFonts w:hint="default"/>
        <w:color w:val="000000"/>
      </w:rPr>
    </w:lvl>
    <w:lvl w:ilvl="5" w:tentative="0">
      <w:start w:val="1"/>
      <w:numFmt w:val="decimal"/>
      <w:lvlText w:val="%1.%2.%3.%4.%5.%6."/>
      <w:lvlJc w:val="left"/>
      <w:pPr>
        <w:tabs>
          <w:tab w:val="left" w:pos="1080"/>
        </w:tabs>
        <w:ind w:left="1080" w:hanging="1080"/>
      </w:pPr>
      <w:rPr>
        <w:rFonts w:hint="default"/>
        <w:color w:val="000000"/>
      </w:rPr>
    </w:lvl>
    <w:lvl w:ilvl="6" w:tentative="0">
      <w:start w:val="1"/>
      <w:numFmt w:val="decimal"/>
      <w:lvlText w:val="%1.%2.%3.%4.%5.%6.%7."/>
      <w:lvlJc w:val="left"/>
      <w:pPr>
        <w:tabs>
          <w:tab w:val="left" w:pos="1440"/>
        </w:tabs>
        <w:ind w:left="1440" w:hanging="1440"/>
      </w:pPr>
      <w:rPr>
        <w:rFonts w:hint="default"/>
        <w:color w:val="000000"/>
      </w:rPr>
    </w:lvl>
    <w:lvl w:ilvl="7" w:tentative="0">
      <w:start w:val="1"/>
      <w:numFmt w:val="decimal"/>
      <w:lvlText w:val="%1.%2.%3.%4.%5.%6.%7.%8."/>
      <w:lvlJc w:val="left"/>
      <w:pPr>
        <w:tabs>
          <w:tab w:val="left" w:pos="1440"/>
        </w:tabs>
        <w:ind w:left="1440" w:hanging="1440"/>
      </w:pPr>
      <w:rPr>
        <w:rFonts w:hint="default"/>
        <w:color w:val="000000"/>
      </w:rPr>
    </w:lvl>
    <w:lvl w:ilvl="8" w:tentative="0">
      <w:start w:val="1"/>
      <w:numFmt w:val="decimal"/>
      <w:lvlText w:val="%1.%2.%3.%4.%5.%6.%7.%8.%9."/>
      <w:lvlJc w:val="left"/>
      <w:pPr>
        <w:tabs>
          <w:tab w:val="left" w:pos="1800"/>
        </w:tabs>
        <w:ind w:left="1800" w:hanging="1800"/>
      </w:pPr>
      <w:rPr>
        <w:rFonts w:hint="default"/>
        <w:color w:val="000000"/>
      </w:rPr>
    </w:lvl>
  </w:abstractNum>
  <w:abstractNum w:abstractNumId="6">
    <w:nsid w:val="3EE8028D"/>
    <w:multiLevelType w:val="multilevel"/>
    <w:tmpl w:val="3EE8028D"/>
    <w:lvl w:ilvl="0" w:tentative="0">
      <w:start w:val="1"/>
      <w:numFmt w:val="decimal"/>
      <w:lvlText w:val="%1."/>
      <w:lvlJc w:val="left"/>
      <w:pPr>
        <w:tabs>
          <w:tab w:val="left" w:pos="720"/>
        </w:tabs>
        <w:ind w:left="720" w:hanging="360"/>
      </w:pPr>
      <w:rPr>
        <w:rFonts w:hint="default"/>
      </w:rPr>
    </w:lvl>
    <w:lvl w:ilvl="1" w:tentative="0">
      <w:start w:val="1"/>
      <w:numFmt w:val="decimal"/>
      <w:isLgl/>
      <w:lvlText w:val="%1.%2."/>
      <w:lvlJc w:val="left"/>
      <w:pPr>
        <w:tabs>
          <w:tab w:val="left" w:pos="720"/>
        </w:tabs>
        <w:ind w:left="720" w:hanging="360"/>
      </w:pPr>
      <w:rPr>
        <w:rFonts w:hint="default"/>
        <w:color w:val="000000"/>
      </w:rPr>
    </w:lvl>
    <w:lvl w:ilvl="2" w:tentative="0">
      <w:start w:val="1"/>
      <w:numFmt w:val="decimalZero"/>
      <w:isLgl/>
      <w:lvlText w:val="%1.%2.%3."/>
      <w:lvlJc w:val="left"/>
      <w:pPr>
        <w:tabs>
          <w:tab w:val="left" w:pos="1080"/>
        </w:tabs>
        <w:ind w:left="1080" w:hanging="720"/>
      </w:pPr>
      <w:rPr>
        <w:rFonts w:hint="default"/>
        <w:color w:val="000000"/>
      </w:rPr>
    </w:lvl>
    <w:lvl w:ilvl="3" w:tentative="0">
      <w:start w:val="1"/>
      <w:numFmt w:val="decimal"/>
      <w:isLgl/>
      <w:lvlText w:val="%1.%2.%3.%4."/>
      <w:lvlJc w:val="left"/>
      <w:pPr>
        <w:tabs>
          <w:tab w:val="left" w:pos="1080"/>
        </w:tabs>
        <w:ind w:left="1080" w:hanging="720"/>
      </w:pPr>
      <w:rPr>
        <w:rFonts w:hint="default"/>
        <w:color w:val="000000"/>
      </w:rPr>
    </w:lvl>
    <w:lvl w:ilvl="4" w:tentative="0">
      <w:start w:val="1"/>
      <w:numFmt w:val="decimal"/>
      <w:isLgl/>
      <w:lvlText w:val="%1.%2.%3.%4.%5."/>
      <w:lvlJc w:val="left"/>
      <w:pPr>
        <w:tabs>
          <w:tab w:val="left" w:pos="1440"/>
        </w:tabs>
        <w:ind w:left="1440" w:hanging="1080"/>
      </w:pPr>
      <w:rPr>
        <w:rFonts w:hint="default"/>
        <w:color w:val="000000"/>
      </w:rPr>
    </w:lvl>
    <w:lvl w:ilvl="5" w:tentative="0">
      <w:start w:val="1"/>
      <w:numFmt w:val="decimal"/>
      <w:isLgl/>
      <w:lvlText w:val="%1.%2.%3.%4.%5.%6."/>
      <w:lvlJc w:val="left"/>
      <w:pPr>
        <w:tabs>
          <w:tab w:val="left" w:pos="1440"/>
        </w:tabs>
        <w:ind w:left="1440" w:hanging="1080"/>
      </w:pPr>
      <w:rPr>
        <w:rFonts w:hint="default"/>
        <w:color w:val="000000"/>
      </w:rPr>
    </w:lvl>
    <w:lvl w:ilvl="6" w:tentative="0">
      <w:start w:val="1"/>
      <w:numFmt w:val="decimal"/>
      <w:isLgl/>
      <w:lvlText w:val="%1.%2.%3.%4.%5.%6.%7."/>
      <w:lvlJc w:val="left"/>
      <w:pPr>
        <w:tabs>
          <w:tab w:val="left" w:pos="1800"/>
        </w:tabs>
        <w:ind w:left="1800" w:hanging="1440"/>
      </w:pPr>
      <w:rPr>
        <w:rFonts w:hint="default"/>
        <w:color w:val="000000"/>
      </w:rPr>
    </w:lvl>
    <w:lvl w:ilvl="7" w:tentative="0">
      <w:start w:val="1"/>
      <w:numFmt w:val="decimal"/>
      <w:isLgl/>
      <w:lvlText w:val="%1.%2.%3.%4.%5.%6.%7.%8."/>
      <w:lvlJc w:val="left"/>
      <w:pPr>
        <w:tabs>
          <w:tab w:val="left" w:pos="1800"/>
        </w:tabs>
        <w:ind w:left="1800" w:hanging="1440"/>
      </w:pPr>
      <w:rPr>
        <w:rFonts w:hint="default"/>
        <w:color w:val="000000"/>
      </w:rPr>
    </w:lvl>
    <w:lvl w:ilvl="8" w:tentative="0">
      <w:start w:val="1"/>
      <w:numFmt w:val="decimal"/>
      <w:isLgl/>
      <w:lvlText w:val="%1.%2.%3.%4.%5.%6.%7.%8.%9."/>
      <w:lvlJc w:val="left"/>
      <w:pPr>
        <w:tabs>
          <w:tab w:val="left" w:pos="2160"/>
        </w:tabs>
        <w:ind w:left="2160" w:hanging="1800"/>
      </w:pPr>
      <w:rPr>
        <w:rFonts w:hint="default"/>
        <w:color w:val="000000"/>
      </w:rPr>
    </w:lvl>
  </w:abstractNum>
  <w:abstractNum w:abstractNumId="7">
    <w:nsid w:val="40182515"/>
    <w:multiLevelType w:val="multilevel"/>
    <w:tmpl w:val="40182515"/>
    <w:lvl w:ilvl="0" w:tentative="0">
      <w:start w:val="8"/>
      <w:numFmt w:val="bullet"/>
      <w:lvlText w:val="-"/>
      <w:lvlJc w:val="left"/>
      <w:pPr>
        <w:tabs>
          <w:tab w:val="left" w:pos="927"/>
        </w:tabs>
        <w:ind w:left="927" w:hanging="360"/>
      </w:pPr>
      <w:rPr>
        <w:rFonts w:hint="default" w:ascii="Times New Roman" w:hAnsi="Times New Roman" w:eastAsia="Times New Roman" w:cs="Times New Roman"/>
      </w:rPr>
    </w:lvl>
    <w:lvl w:ilvl="1" w:tentative="0">
      <w:start w:val="1"/>
      <w:numFmt w:val="bullet"/>
      <w:lvlText w:val="o"/>
      <w:lvlJc w:val="left"/>
      <w:pPr>
        <w:tabs>
          <w:tab w:val="left" w:pos="1647"/>
        </w:tabs>
        <w:ind w:left="1647" w:hanging="360"/>
      </w:pPr>
      <w:rPr>
        <w:rFonts w:hint="default" w:ascii="Courier New" w:hAnsi="Courier New" w:cs="Courier New"/>
      </w:rPr>
    </w:lvl>
    <w:lvl w:ilvl="2" w:tentative="0">
      <w:start w:val="1"/>
      <w:numFmt w:val="bullet"/>
      <w:lvlText w:val=""/>
      <w:lvlJc w:val="left"/>
      <w:pPr>
        <w:tabs>
          <w:tab w:val="left" w:pos="2367"/>
        </w:tabs>
        <w:ind w:left="2367" w:hanging="360"/>
      </w:pPr>
      <w:rPr>
        <w:rFonts w:hint="default" w:ascii="Wingdings" w:hAnsi="Wingdings"/>
      </w:rPr>
    </w:lvl>
    <w:lvl w:ilvl="3" w:tentative="0">
      <w:start w:val="1"/>
      <w:numFmt w:val="bullet"/>
      <w:lvlText w:val=""/>
      <w:lvlJc w:val="left"/>
      <w:pPr>
        <w:tabs>
          <w:tab w:val="left" w:pos="3087"/>
        </w:tabs>
        <w:ind w:left="3087" w:hanging="360"/>
      </w:pPr>
      <w:rPr>
        <w:rFonts w:hint="default" w:ascii="Symbol" w:hAnsi="Symbol"/>
      </w:rPr>
    </w:lvl>
    <w:lvl w:ilvl="4" w:tentative="0">
      <w:start w:val="1"/>
      <w:numFmt w:val="bullet"/>
      <w:lvlText w:val="o"/>
      <w:lvlJc w:val="left"/>
      <w:pPr>
        <w:tabs>
          <w:tab w:val="left" w:pos="3807"/>
        </w:tabs>
        <w:ind w:left="3807" w:hanging="360"/>
      </w:pPr>
      <w:rPr>
        <w:rFonts w:hint="default" w:ascii="Courier New" w:hAnsi="Courier New" w:cs="Courier New"/>
      </w:rPr>
    </w:lvl>
    <w:lvl w:ilvl="5" w:tentative="0">
      <w:start w:val="1"/>
      <w:numFmt w:val="bullet"/>
      <w:lvlText w:val=""/>
      <w:lvlJc w:val="left"/>
      <w:pPr>
        <w:tabs>
          <w:tab w:val="left" w:pos="4527"/>
        </w:tabs>
        <w:ind w:left="4527" w:hanging="360"/>
      </w:pPr>
      <w:rPr>
        <w:rFonts w:hint="default" w:ascii="Wingdings" w:hAnsi="Wingdings"/>
      </w:rPr>
    </w:lvl>
    <w:lvl w:ilvl="6" w:tentative="0">
      <w:start w:val="1"/>
      <w:numFmt w:val="bullet"/>
      <w:lvlText w:val=""/>
      <w:lvlJc w:val="left"/>
      <w:pPr>
        <w:tabs>
          <w:tab w:val="left" w:pos="5247"/>
        </w:tabs>
        <w:ind w:left="5247" w:hanging="360"/>
      </w:pPr>
      <w:rPr>
        <w:rFonts w:hint="default" w:ascii="Symbol" w:hAnsi="Symbol"/>
      </w:rPr>
    </w:lvl>
    <w:lvl w:ilvl="7" w:tentative="0">
      <w:start w:val="1"/>
      <w:numFmt w:val="bullet"/>
      <w:lvlText w:val="o"/>
      <w:lvlJc w:val="left"/>
      <w:pPr>
        <w:tabs>
          <w:tab w:val="left" w:pos="5967"/>
        </w:tabs>
        <w:ind w:left="5967" w:hanging="360"/>
      </w:pPr>
      <w:rPr>
        <w:rFonts w:hint="default" w:ascii="Courier New" w:hAnsi="Courier New" w:cs="Courier New"/>
      </w:rPr>
    </w:lvl>
    <w:lvl w:ilvl="8" w:tentative="0">
      <w:start w:val="1"/>
      <w:numFmt w:val="bullet"/>
      <w:lvlText w:val=""/>
      <w:lvlJc w:val="left"/>
      <w:pPr>
        <w:tabs>
          <w:tab w:val="left" w:pos="6687"/>
        </w:tabs>
        <w:ind w:left="6687" w:hanging="360"/>
      </w:pPr>
      <w:rPr>
        <w:rFonts w:hint="default" w:ascii="Wingdings" w:hAnsi="Wingdings"/>
      </w:rPr>
    </w:lvl>
  </w:abstractNum>
  <w:abstractNum w:abstractNumId="8">
    <w:nsid w:val="483974E9"/>
    <w:multiLevelType w:val="multilevel"/>
    <w:tmpl w:val="483974E9"/>
    <w:lvl w:ilvl="0" w:tentative="0">
      <w:start w:val="8"/>
      <w:numFmt w:val="decimal"/>
      <w:lvlText w:val="%1."/>
      <w:lvlJc w:val="left"/>
      <w:pPr>
        <w:tabs>
          <w:tab w:val="left" w:pos="360"/>
        </w:tabs>
        <w:ind w:left="360" w:hanging="360"/>
      </w:pPr>
      <w:rPr>
        <w:rFonts w:hint="default"/>
        <w:color w:val="000000"/>
      </w:rPr>
    </w:lvl>
    <w:lvl w:ilvl="1" w:tentative="0">
      <w:start w:val="1"/>
      <w:numFmt w:val="decimal"/>
      <w:lvlText w:val="10.%2."/>
      <w:lvlJc w:val="left"/>
      <w:pPr>
        <w:tabs>
          <w:tab w:val="left" w:pos="360"/>
        </w:tabs>
        <w:ind w:left="360" w:hanging="360"/>
      </w:pPr>
      <w:rPr>
        <w:rFonts w:hint="default"/>
        <w:color w:val="000000"/>
      </w:rPr>
    </w:lvl>
    <w:lvl w:ilvl="2" w:tentative="0">
      <w:start w:val="1"/>
      <w:numFmt w:val="decimal"/>
      <w:lvlText w:val="%1.%2.%3."/>
      <w:lvlJc w:val="left"/>
      <w:pPr>
        <w:tabs>
          <w:tab w:val="left" w:pos="720"/>
        </w:tabs>
        <w:ind w:left="720" w:hanging="720"/>
      </w:pPr>
      <w:rPr>
        <w:rFonts w:hint="default"/>
        <w:color w:val="000000"/>
      </w:rPr>
    </w:lvl>
    <w:lvl w:ilvl="3" w:tentative="0">
      <w:start w:val="1"/>
      <w:numFmt w:val="decimal"/>
      <w:lvlText w:val="%1.%2.%3.%4."/>
      <w:lvlJc w:val="left"/>
      <w:pPr>
        <w:tabs>
          <w:tab w:val="left" w:pos="720"/>
        </w:tabs>
        <w:ind w:left="720" w:hanging="720"/>
      </w:pPr>
      <w:rPr>
        <w:rFonts w:hint="default"/>
        <w:color w:val="000000"/>
      </w:rPr>
    </w:lvl>
    <w:lvl w:ilvl="4" w:tentative="0">
      <w:start w:val="1"/>
      <w:numFmt w:val="decimal"/>
      <w:lvlText w:val="%1.%2.%3.%4.%5."/>
      <w:lvlJc w:val="left"/>
      <w:pPr>
        <w:tabs>
          <w:tab w:val="left" w:pos="1080"/>
        </w:tabs>
        <w:ind w:left="1080" w:hanging="1080"/>
      </w:pPr>
      <w:rPr>
        <w:rFonts w:hint="default"/>
        <w:color w:val="000000"/>
      </w:rPr>
    </w:lvl>
    <w:lvl w:ilvl="5" w:tentative="0">
      <w:start w:val="1"/>
      <w:numFmt w:val="decimal"/>
      <w:lvlText w:val="%1.%2.%3.%4.%5.%6."/>
      <w:lvlJc w:val="left"/>
      <w:pPr>
        <w:tabs>
          <w:tab w:val="left" w:pos="1080"/>
        </w:tabs>
        <w:ind w:left="1080" w:hanging="1080"/>
      </w:pPr>
      <w:rPr>
        <w:rFonts w:hint="default"/>
        <w:color w:val="000000"/>
      </w:rPr>
    </w:lvl>
    <w:lvl w:ilvl="6" w:tentative="0">
      <w:start w:val="1"/>
      <w:numFmt w:val="decimal"/>
      <w:lvlText w:val="%1.%2.%3.%4.%5.%6.%7."/>
      <w:lvlJc w:val="left"/>
      <w:pPr>
        <w:tabs>
          <w:tab w:val="left" w:pos="1440"/>
        </w:tabs>
        <w:ind w:left="1440" w:hanging="1440"/>
      </w:pPr>
      <w:rPr>
        <w:rFonts w:hint="default"/>
        <w:color w:val="000000"/>
      </w:rPr>
    </w:lvl>
    <w:lvl w:ilvl="7" w:tentative="0">
      <w:start w:val="1"/>
      <w:numFmt w:val="decimal"/>
      <w:lvlText w:val="%1.%2.%3.%4.%5.%6.%7.%8."/>
      <w:lvlJc w:val="left"/>
      <w:pPr>
        <w:tabs>
          <w:tab w:val="left" w:pos="1440"/>
        </w:tabs>
        <w:ind w:left="1440" w:hanging="1440"/>
      </w:pPr>
      <w:rPr>
        <w:rFonts w:hint="default"/>
        <w:color w:val="000000"/>
      </w:rPr>
    </w:lvl>
    <w:lvl w:ilvl="8" w:tentative="0">
      <w:start w:val="1"/>
      <w:numFmt w:val="decimal"/>
      <w:lvlText w:val="%1.%2.%3.%4.%5.%6.%7.%8.%9."/>
      <w:lvlJc w:val="left"/>
      <w:pPr>
        <w:tabs>
          <w:tab w:val="left" w:pos="1800"/>
        </w:tabs>
        <w:ind w:left="1800" w:hanging="1800"/>
      </w:pPr>
      <w:rPr>
        <w:rFonts w:hint="default"/>
        <w:color w:val="000000"/>
      </w:rPr>
    </w:lvl>
  </w:abstractNum>
  <w:abstractNum w:abstractNumId="9">
    <w:nsid w:val="53727D11"/>
    <w:multiLevelType w:val="multilevel"/>
    <w:tmpl w:val="53727D11"/>
    <w:lvl w:ilvl="0" w:tentative="0">
      <w:start w:val="8"/>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720"/>
        </w:tabs>
        <w:ind w:left="720" w:hanging="72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08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num w:numId="1">
    <w:abstractNumId w:val="6"/>
  </w:num>
  <w:num w:numId="2">
    <w:abstractNumId w:val="0"/>
  </w:num>
  <w:num w:numId="3">
    <w:abstractNumId w:val="1"/>
  </w:num>
  <w:num w:numId="4">
    <w:abstractNumId w:val="2"/>
  </w:num>
  <w:num w:numId="5">
    <w:abstractNumId w:val="9"/>
  </w:num>
  <w:num w:numId="6">
    <w:abstractNumId w:val="7"/>
  </w:num>
  <w:num w:numId="7">
    <w:abstractNumId w:val="5"/>
  </w:num>
  <w:num w:numId="8">
    <w:abstractNumId w:val="8"/>
  </w:num>
  <w:num w:numId="9">
    <w:abstractNumId w:val="3"/>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08"/>
  <w:hyphenationZone w:val="425"/>
  <w:noPunctuationKerning w:val="1"/>
  <w:characterSpacingControl w:val="doNotCompress"/>
  <w:footnotePr>
    <w:footnote w:id="0"/>
    <w:footnote w:id="1"/>
  </w:footnotePr>
  <w:endnotePr>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8BB"/>
    <w:rsid w:val="00006C0B"/>
    <w:rsid w:val="00011DE4"/>
    <w:rsid w:val="00041B1C"/>
    <w:rsid w:val="00082E2E"/>
    <w:rsid w:val="000B0D62"/>
    <w:rsid w:val="000C38F5"/>
    <w:rsid w:val="000F6069"/>
    <w:rsid w:val="0013218E"/>
    <w:rsid w:val="00157F4C"/>
    <w:rsid w:val="00186FFD"/>
    <w:rsid w:val="00196A1E"/>
    <w:rsid w:val="00230D10"/>
    <w:rsid w:val="00242D57"/>
    <w:rsid w:val="00254EA6"/>
    <w:rsid w:val="00256712"/>
    <w:rsid w:val="002C74F6"/>
    <w:rsid w:val="002D4C12"/>
    <w:rsid w:val="00382521"/>
    <w:rsid w:val="003837D0"/>
    <w:rsid w:val="003B02C8"/>
    <w:rsid w:val="003C451D"/>
    <w:rsid w:val="003C74FF"/>
    <w:rsid w:val="003F64EF"/>
    <w:rsid w:val="004071A7"/>
    <w:rsid w:val="00415C52"/>
    <w:rsid w:val="00437DF3"/>
    <w:rsid w:val="00463EEA"/>
    <w:rsid w:val="004749D9"/>
    <w:rsid w:val="00494BE4"/>
    <w:rsid w:val="004A2F11"/>
    <w:rsid w:val="004A68BB"/>
    <w:rsid w:val="004A70DB"/>
    <w:rsid w:val="004B3510"/>
    <w:rsid w:val="004D12CC"/>
    <w:rsid w:val="004D2B97"/>
    <w:rsid w:val="00542991"/>
    <w:rsid w:val="0056213D"/>
    <w:rsid w:val="00572F79"/>
    <w:rsid w:val="00586823"/>
    <w:rsid w:val="005F48DF"/>
    <w:rsid w:val="0060770E"/>
    <w:rsid w:val="0061552E"/>
    <w:rsid w:val="00616E5C"/>
    <w:rsid w:val="0062436A"/>
    <w:rsid w:val="0062632F"/>
    <w:rsid w:val="00675AE9"/>
    <w:rsid w:val="00692069"/>
    <w:rsid w:val="006C6F4F"/>
    <w:rsid w:val="006F7F95"/>
    <w:rsid w:val="007317DA"/>
    <w:rsid w:val="00760CC6"/>
    <w:rsid w:val="007A2FC7"/>
    <w:rsid w:val="007A63A7"/>
    <w:rsid w:val="007B54E0"/>
    <w:rsid w:val="007C093C"/>
    <w:rsid w:val="007E433D"/>
    <w:rsid w:val="00800351"/>
    <w:rsid w:val="0081267B"/>
    <w:rsid w:val="00815B2A"/>
    <w:rsid w:val="00822147"/>
    <w:rsid w:val="00827DE1"/>
    <w:rsid w:val="00841806"/>
    <w:rsid w:val="00852699"/>
    <w:rsid w:val="008534C9"/>
    <w:rsid w:val="008C3B3A"/>
    <w:rsid w:val="008C7DD2"/>
    <w:rsid w:val="008E09A2"/>
    <w:rsid w:val="00932E19"/>
    <w:rsid w:val="009D48AA"/>
    <w:rsid w:val="009F1907"/>
    <w:rsid w:val="00A302AA"/>
    <w:rsid w:val="00A80B54"/>
    <w:rsid w:val="00A85719"/>
    <w:rsid w:val="00A86C26"/>
    <w:rsid w:val="00AA4E27"/>
    <w:rsid w:val="00AC6A7C"/>
    <w:rsid w:val="00AE4C4A"/>
    <w:rsid w:val="00B16365"/>
    <w:rsid w:val="00B2687D"/>
    <w:rsid w:val="00B732D8"/>
    <w:rsid w:val="00B746C3"/>
    <w:rsid w:val="00BF0F17"/>
    <w:rsid w:val="00C33280"/>
    <w:rsid w:val="00C55BC0"/>
    <w:rsid w:val="00C711F7"/>
    <w:rsid w:val="00C73D98"/>
    <w:rsid w:val="00C8436A"/>
    <w:rsid w:val="00CA6F3B"/>
    <w:rsid w:val="00CB49E4"/>
    <w:rsid w:val="00CE2759"/>
    <w:rsid w:val="00CE5CED"/>
    <w:rsid w:val="00CF3743"/>
    <w:rsid w:val="00D14F43"/>
    <w:rsid w:val="00D30FEC"/>
    <w:rsid w:val="00D321F9"/>
    <w:rsid w:val="00D32484"/>
    <w:rsid w:val="00D5120E"/>
    <w:rsid w:val="00D53678"/>
    <w:rsid w:val="00D65837"/>
    <w:rsid w:val="00D92A32"/>
    <w:rsid w:val="00DC1518"/>
    <w:rsid w:val="00DD2815"/>
    <w:rsid w:val="00E12388"/>
    <w:rsid w:val="00E31298"/>
    <w:rsid w:val="00E42604"/>
    <w:rsid w:val="00E95031"/>
    <w:rsid w:val="00EA7AA4"/>
    <w:rsid w:val="00F059D3"/>
    <w:rsid w:val="00F36004"/>
    <w:rsid w:val="00F47E93"/>
    <w:rsid w:val="00F52D5D"/>
    <w:rsid w:val="00F54426"/>
    <w:rsid w:val="00F76961"/>
    <w:rsid w:val="00F81B4A"/>
    <w:rsid w:val="00F916DC"/>
    <w:rsid w:val="00FA3844"/>
    <w:rsid w:val="00FA423D"/>
    <w:rsid w:val="00FD3D6D"/>
    <w:rsid w:val="00FF4119"/>
    <w:rsid w:val="037D3923"/>
    <w:rsid w:val="56C55D95"/>
    <w:rsid w:val="634F29C2"/>
    <w:rsid w:val="748C1160"/>
    <w:rsid w:val="79160F6C"/>
    <w:rsid w:val="7F52305C"/>
  </w:rsids>
  <m:mathPr>
    <m:mathFont m:val="Cambria Math"/>
    <m:brkBin m:val="before"/>
    <m:brkBinSub m:val="--"/>
    <m:smallFrac m:val="1"/>
    <m:dispDef/>
    <m:lMargin m:val="0"/>
    <m:rMargin m:val="0"/>
    <m:defJc m:val="centerGroup"/>
    <m:wrapIndent m:val="1440"/>
    <m:intLim m:val="subSup"/>
    <m:naryLim m:val="undOvr"/>
  </m:mathPr>
  <w:themeFontLang w:val="sk-SK"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name="annotation text"/>
    <w:lsdException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sk-SK" w:eastAsia="sk-SK"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7"/>
    <w:semiHidden/>
    <w:unhideWhenUsed/>
    <w:qFormat/>
    <w:uiPriority w:val="99"/>
    <w:pPr>
      <w:spacing w:after="0" w:line="240" w:lineRule="auto"/>
    </w:pPr>
    <w:rPr>
      <w:rFonts w:ascii="Segoe UI" w:hAnsi="Segoe UI" w:cs="Segoe UI"/>
      <w:sz w:val="18"/>
      <w:szCs w:val="18"/>
    </w:rPr>
  </w:style>
  <w:style w:type="character" w:styleId="5">
    <w:name w:val="annotation reference"/>
    <w:semiHidden/>
    <w:unhideWhenUsed/>
    <w:qFormat/>
    <w:uiPriority w:val="0"/>
    <w:rPr>
      <w:sz w:val="16"/>
      <w:szCs w:val="16"/>
    </w:rPr>
  </w:style>
  <w:style w:type="paragraph" w:styleId="6">
    <w:name w:val="annotation text"/>
    <w:basedOn w:val="1"/>
    <w:link w:val="18"/>
    <w:semiHidden/>
    <w:unhideWhenUsed/>
    <w:qFormat/>
    <w:uiPriority w:val="0"/>
    <w:pPr>
      <w:overflowPunct w:val="0"/>
      <w:autoSpaceDE w:val="0"/>
      <w:autoSpaceDN w:val="0"/>
      <w:adjustRightInd w:val="0"/>
      <w:spacing w:after="0" w:line="240" w:lineRule="auto"/>
    </w:pPr>
    <w:rPr>
      <w:rFonts w:ascii="Times New Roman" w:hAnsi="Times New Roman" w:eastAsia="Times New Roman" w:cs="Times New Roman"/>
      <w:sz w:val="20"/>
      <w:szCs w:val="20"/>
    </w:rPr>
  </w:style>
  <w:style w:type="paragraph" w:styleId="7">
    <w:name w:val="annotation subject"/>
    <w:basedOn w:val="6"/>
    <w:next w:val="6"/>
    <w:link w:val="20"/>
    <w:semiHidden/>
    <w:unhideWhenUsed/>
    <w:qFormat/>
    <w:uiPriority w:val="99"/>
    <w:pPr>
      <w:overflowPunct/>
      <w:autoSpaceDE/>
      <w:autoSpaceDN/>
      <w:adjustRightInd/>
      <w:spacing w:after="200"/>
    </w:pPr>
    <w:rPr>
      <w:rFonts w:asciiTheme="minorHAnsi" w:hAnsiTheme="minorHAnsi" w:eastAsiaTheme="minorEastAsia" w:cstheme="minorBidi"/>
      <w:b/>
      <w:bCs/>
    </w:rPr>
  </w:style>
  <w:style w:type="paragraph" w:styleId="8">
    <w:name w:val="footer"/>
    <w:basedOn w:val="1"/>
    <w:link w:val="14"/>
    <w:qFormat/>
    <w:uiPriority w:val="99"/>
    <w:pPr>
      <w:tabs>
        <w:tab w:val="center" w:pos="4536"/>
        <w:tab w:val="right" w:pos="9072"/>
      </w:tabs>
      <w:spacing w:after="0" w:line="240" w:lineRule="auto"/>
    </w:pPr>
    <w:rPr>
      <w:rFonts w:ascii="Times New Roman" w:hAnsi="Times New Roman" w:eastAsia="Times New Roman" w:cs="Times New Roman"/>
      <w:sz w:val="24"/>
      <w:szCs w:val="24"/>
    </w:rPr>
  </w:style>
  <w:style w:type="character" w:styleId="9">
    <w:name w:val="Hyperlink"/>
    <w:basedOn w:val="2"/>
    <w:semiHidden/>
    <w:unhideWhenUsed/>
    <w:qFormat/>
    <w:uiPriority w:val="99"/>
    <w:rPr>
      <w:color w:val="0000FF"/>
      <w:u w:val="single"/>
    </w:rPr>
  </w:style>
  <w:style w:type="character" w:styleId="10">
    <w:name w:val="Strong"/>
    <w:qFormat/>
    <w:uiPriority w:val="22"/>
    <w:rPr>
      <w:b/>
      <w:bCs/>
    </w:rPr>
  </w:style>
  <w:style w:type="paragraph" w:styleId="11">
    <w:name w:val="Subtitle"/>
    <w:basedOn w:val="1"/>
    <w:link w:val="15"/>
    <w:qFormat/>
    <w:uiPriority w:val="0"/>
    <w:pPr>
      <w:keepLines/>
      <w:suppressLineNumbers/>
      <w:tabs>
        <w:tab w:val="left" w:pos="567"/>
        <w:tab w:val="left" w:pos="1134"/>
        <w:tab w:val="left" w:pos="1701"/>
        <w:tab w:val="left" w:pos="2268"/>
        <w:tab w:val="left" w:pos="2835"/>
        <w:tab w:val="left" w:pos="3402"/>
        <w:tab w:val="left" w:pos="3969"/>
        <w:tab w:val="left" w:pos="4536"/>
      </w:tabs>
      <w:suppressAutoHyphens/>
      <w:spacing w:before="120" w:after="0" w:line="240" w:lineRule="auto"/>
      <w:jc w:val="both"/>
    </w:pPr>
    <w:rPr>
      <w:rFonts w:ascii="Arial" w:hAnsi="Arial" w:eastAsia="Times New Roman" w:cs="Times New Roman"/>
      <w:b/>
      <w:szCs w:val="20"/>
      <w:lang w:eastAsia="en-US"/>
    </w:rPr>
  </w:style>
  <w:style w:type="paragraph" w:customStyle="1" w:styleId="12">
    <w:name w:val="Základní text"/>
    <w:qFormat/>
    <w:uiPriority w:val="0"/>
    <w:pPr>
      <w:autoSpaceDE w:val="0"/>
      <w:autoSpaceDN w:val="0"/>
      <w:adjustRightInd w:val="0"/>
    </w:pPr>
    <w:rPr>
      <w:rFonts w:ascii="Times New Roman" w:hAnsi="Times New Roman" w:eastAsia="Times New Roman" w:cs="Times New Roman"/>
      <w:color w:val="000000"/>
      <w:sz w:val="24"/>
      <w:szCs w:val="24"/>
      <w:lang w:val="sk-SK" w:eastAsia="sk-SK" w:bidi="ar-SA"/>
    </w:rPr>
  </w:style>
  <w:style w:type="paragraph" w:styleId="13">
    <w:name w:val="List Paragraph"/>
    <w:basedOn w:val="1"/>
    <w:qFormat/>
    <w:uiPriority w:val="34"/>
    <w:pPr>
      <w:spacing w:after="0" w:line="240" w:lineRule="auto"/>
      <w:ind w:left="708"/>
    </w:pPr>
    <w:rPr>
      <w:rFonts w:ascii="Times New Roman" w:hAnsi="Times New Roman" w:eastAsia="Times New Roman" w:cs="Times New Roman"/>
      <w:sz w:val="24"/>
      <w:szCs w:val="24"/>
    </w:rPr>
  </w:style>
  <w:style w:type="character" w:customStyle="1" w:styleId="14">
    <w:name w:val="Päta Char"/>
    <w:basedOn w:val="2"/>
    <w:link w:val="8"/>
    <w:qFormat/>
    <w:uiPriority w:val="99"/>
    <w:rPr>
      <w:rFonts w:ascii="Times New Roman" w:hAnsi="Times New Roman" w:eastAsia="Times New Roman" w:cs="Times New Roman"/>
      <w:sz w:val="24"/>
      <w:szCs w:val="24"/>
    </w:rPr>
  </w:style>
  <w:style w:type="character" w:customStyle="1" w:styleId="15">
    <w:name w:val="Podtitul Char"/>
    <w:basedOn w:val="2"/>
    <w:link w:val="11"/>
    <w:qFormat/>
    <w:uiPriority w:val="0"/>
    <w:rPr>
      <w:rFonts w:ascii="Arial" w:hAnsi="Arial" w:eastAsia="Times New Roman" w:cs="Times New Roman"/>
      <w:b/>
      <w:szCs w:val="20"/>
      <w:lang w:eastAsia="en-US"/>
    </w:rPr>
  </w:style>
  <w:style w:type="character" w:customStyle="1" w:styleId="16">
    <w:name w:val="value"/>
    <w:qFormat/>
    <w:uiPriority w:val="0"/>
  </w:style>
  <w:style w:type="character" w:customStyle="1" w:styleId="17">
    <w:name w:val="Text bubliny Char"/>
    <w:basedOn w:val="2"/>
    <w:link w:val="4"/>
    <w:semiHidden/>
    <w:qFormat/>
    <w:uiPriority w:val="99"/>
    <w:rPr>
      <w:rFonts w:ascii="Segoe UI" w:hAnsi="Segoe UI" w:cs="Segoe UI"/>
      <w:sz w:val="18"/>
      <w:szCs w:val="18"/>
    </w:rPr>
  </w:style>
  <w:style w:type="character" w:customStyle="1" w:styleId="18">
    <w:name w:val="Text komentára Char"/>
    <w:basedOn w:val="2"/>
    <w:link w:val="6"/>
    <w:semiHidden/>
    <w:qFormat/>
    <w:uiPriority w:val="0"/>
    <w:rPr>
      <w:rFonts w:ascii="Times New Roman" w:hAnsi="Times New Roman" w:eastAsia="Times New Roman" w:cs="Times New Roman"/>
      <w:sz w:val="20"/>
      <w:szCs w:val="20"/>
    </w:rPr>
  </w:style>
  <w:style w:type="character" w:customStyle="1" w:styleId="19">
    <w:name w:val="st"/>
    <w:basedOn w:val="2"/>
    <w:qFormat/>
    <w:uiPriority w:val="0"/>
  </w:style>
  <w:style w:type="character" w:customStyle="1" w:styleId="20">
    <w:name w:val="Predmet komentára Char"/>
    <w:basedOn w:val="18"/>
    <w:link w:val="7"/>
    <w:semiHidden/>
    <w:qFormat/>
    <w:uiPriority w:val="99"/>
    <w:rPr>
      <w:rFonts w:ascii="Times New Roman" w:hAnsi="Times New Roman" w:eastAsia="Times New Roman" w:cs="Times New Roman"/>
      <w:b/>
      <w:bCs/>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8F8077-54BE-49FC-A5E3-8957607BDD66}">
  <ds:schemaRefs/>
</ds:datastoreItem>
</file>

<file path=docProps/app.xml><?xml version="1.0" encoding="utf-8"?>
<Properties xmlns="http://schemas.openxmlformats.org/officeDocument/2006/extended-properties" xmlns:vt="http://schemas.openxmlformats.org/officeDocument/2006/docPropsVTypes">
  <Template>Normal</Template>
  <Pages>7</Pages>
  <Words>2768</Words>
  <Characters>15778</Characters>
  <Lines>131</Lines>
  <Paragraphs>37</Paragraphs>
  <TotalTime>7</TotalTime>
  <ScaleCrop>false</ScaleCrop>
  <LinksUpToDate>false</LinksUpToDate>
  <CharactersWithSpaces>18509</CharactersWithSpaces>
  <Application>WPS Office_12.2.0.13489_F1E327BC-269C-435d-A152-05C5408002CA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2022-11-24T15:20:00Z</dcterms:created>
  <dc:creator>Misko</dc:creator>
  <cp:lastModifiedBy>google1561374093</cp:lastModifiedBy>
  <cp:lastPrinted>2022-03-23T06:10:00Z</cp:lastPrinted>
  <dcterms:modified xsi:type="dcterms:W3CDTF">2024-03-20T21:47:33Z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1033-12.2.0.13489</vt:lpwstr>
  </property>
  <property fmtid="{D5CDD505-2E9C-101B-9397-08002B2CF9AE}" pid="3" name="ICV">
    <vt:lpwstr>47FA921E1F7A47518198963291C64BFC</vt:lpwstr>
  </property>
</Properties>
</file>