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highlight w:val="none"/>
        </w:rPr>
      </w:pPr>
    </w:p>
    <w:p>
      <w:pPr>
        <w:pStyle w:val="12"/>
        <w:jc w:val="center"/>
        <w:rPr>
          <w:b/>
          <w:color w:val="auto"/>
          <w:sz w:val="40"/>
          <w:highlight w:val="none"/>
        </w:rPr>
      </w:pPr>
      <w:r>
        <w:rPr>
          <w:b/>
          <w:color w:val="auto"/>
          <w:sz w:val="40"/>
          <w:highlight w:val="none"/>
        </w:rPr>
        <w:t>Kúpna zmluva</w:t>
      </w:r>
    </w:p>
    <w:p>
      <w:pPr>
        <w:pStyle w:val="12"/>
        <w:jc w:val="center"/>
        <w:rPr>
          <w:b/>
          <w:color w:val="auto"/>
          <w:highlight w:val="none"/>
        </w:rPr>
      </w:pPr>
    </w:p>
    <w:p>
      <w:pPr>
        <w:pStyle w:val="12"/>
        <w:jc w:val="center"/>
        <w:rPr>
          <w:color w:val="auto"/>
          <w:highlight w:val="none"/>
        </w:rPr>
      </w:pPr>
      <w:r>
        <w:rPr>
          <w:color w:val="auto"/>
          <w:highlight w:val="none"/>
        </w:rPr>
        <w:t>uzatvorená podľa § 409 a nasl. zákona č. 513/1991 Zb. Obchodný zákonník v.z.n.p. a ostatných všeobecne záväzných právnych predpisov platných na území SR </w:t>
      </w:r>
    </w:p>
    <w:p>
      <w:pPr>
        <w:pStyle w:val="12"/>
        <w:jc w:val="center"/>
        <w:rPr>
          <w:color w:val="auto"/>
          <w:highlight w:val="none"/>
        </w:rPr>
      </w:pPr>
      <w:r>
        <w:rPr>
          <w:color w:val="auto"/>
          <w:highlight w:val="none"/>
        </w:rPr>
        <w:t>(ďalej iba „zmluva“)</w:t>
      </w:r>
    </w:p>
    <w:p>
      <w:pPr>
        <w:pStyle w:val="12"/>
        <w:rPr>
          <w:b/>
          <w:color w:val="auto"/>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Zmluvné strany</w:t>
      </w:r>
    </w:p>
    <w:p>
      <w:pPr>
        <w:pStyle w:val="12"/>
        <w:ind w:left="360"/>
        <w:jc w:val="center"/>
        <w:rPr>
          <w:b/>
          <w:color w:val="auto"/>
          <w:sz w:val="12"/>
          <w:szCs w:val="12"/>
          <w:highlight w:val="none"/>
        </w:rPr>
      </w:pPr>
    </w:p>
    <w:p>
      <w:pPr>
        <w:pStyle w:val="12"/>
        <w:rPr>
          <w:color w:val="auto"/>
          <w:highlight w:val="none"/>
        </w:rPr>
      </w:pPr>
      <w:r>
        <w:rPr>
          <w:b/>
          <w:color w:val="auto"/>
          <w:highlight w:val="none"/>
        </w:rPr>
        <w:t>1. Predávajúci:</w:t>
      </w:r>
      <w:r>
        <w:rPr>
          <w:b/>
          <w:color w:val="auto"/>
          <w:highlight w:val="none"/>
        </w:rPr>
        <w:tab/>
      </w:r>
      <w:r>
        <w:rPr>
          <w:b/>
          <w:color w:val="auto"/>
          <w:highlight w:val="none"/>
        </w:rPr>
        <w:t xml:space="preserve"> </w:t>
      </w:r>
    </w:p>
    <w:p>
      <w:pPr>
        <w:pStyle w:val="12"/>
        <w:rPr>
          <w:color w:val="auto"/>
          <w:highlight w:val="none"/>
        </w:rPr>
      </w:pPr>
      <w:r>
        <w:rPr>
          <w:color w:val="auto"/>
          <w:highlight w:val="none"/>
        </w:rPr>
        <w:t>So sídlom :</w:t>
      </w:r>
      <w:r>
        <w:rPr>
          <w:color w:val="auto"/>
          <w:highlight w:val="none"/>
        </w:rPr>
        <w:tab/>
      </w:r>
      <w:r>
        <w:rPr>
          <w:color w:val="auto"/>
          <w:highlight w:val="none"/>
        </w:rPr>
        <w:tab/>
      </w:r>
      <w:r>
        <w:rPr>
          <w:color w:val="auto"/>
          <w:highlight w:val="none"/>
        </w:rPr>
        <w:t xml:space="preserve"> </w:t>
      </w:r>
    </w:p>
    <w:p>
      <w:pPr>
        <w:pStyle w:val="12"/>
        <w:rPr>
          <w:color w:val="auto"/>
          <w:highlight w:val="none"/>
        </w:rPr>
      </w:pPr>
      <w:r>
        <w:rPr>
          <w:color w:val="auto"/>
          <w:highlight w:val="none"/>
        </w:rPr>
        <w:t xml:space="preserve">Štatutárny zástupca: </w:t>
      </w:r>
      <w:r>
        <w:rPr>
          <w:color w:val="auto"/>
          <w:highlight w:val="none"/>
        </w:rPr>
        <w:tab/>
      </w:r>
    </w:p>
    <w:p>
      <w:pPr>
        <w:pStyle w:val="12"/>
        <w:ind w:firstLine="708"/>
        <w:rPr>
          <w:color w:val="auto"/>
          <w:highlight w:val="none"/>
        </w:rPr>
      </w:pPr>
      <w:r>
        <w:rPr>
          <w:color w:val="auto"/>
          <w:highlight w:val="none"/>
        </w:rPr>
        <w:t xml:space="preserve">- Osoba oprávnená konať vo veciach technických: </w:t>
      </w:r>
      <w:r>
        <w:rPr>
          <w:color w:val="auto"/>
          <w:highlight w:val="none"/>
        </w:rPr>
        <w:tab/>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 xml:space="preserve">IČ DPH: </w:t>
      </w:r>
      <w:r>
        <w:rPr>
          <w:color w:val="auto"/>
          <w:highlight w:val="none"/>
        </w:rPr>
        <w:tab/>
      </w:r>
      <w:r>
        <w:rPr>
          <w:color w:val="auto"/>
          <w:highlight w:val="none"/>
        </w:rPr>
        <w:tab/>
      </w:r>
    </w:p>
    <w:p>
      <w:pPr>
        <w:pStyle w:val="12"/>
        <w:rPr>
          <w:color w:val="auto"/>
          <w:highlight w:val="none"/>
        </w:rPr>
      </w:pPr>
      <w:r>
        <w:rPr>
          <w:color w:val="auto"/>
          <w:highlight w:val="none"/>
        </w:rPr>
        <w:t>Bank. spojenie :</w:t>
      </w:r>
      <w:r>
        <w:rPr>
          <w:color w:val="auto"/>
          <w:highlight w:val="none"/>
        </w:rPr>
        <w:tab/>
      </w:r>
    </w:p>
    <w:p>
      <w:pPr>
        <w:pStyle w:val="12"/>
        <w:rPr>
          <w:color w:val="auto"/>
          <w:highlight w:val="none"/>
        </w:rPr>
      </w:pPr>
      <w:r>
        <w:rPr>
          <w:color w:val="auto"/>
          <w:highlight w:val="none"/>
        </w:rPr>
        <w:t>Číslo účtu IBAN:</w:t>
      </w:r>
      <w:r>
        <w:rPr>
          <w:color w:val="auto"/>
          <w:highlight w:val="none"/>
        </w:rPr>
        <w:tab/>
      </w:r>
    </w:p>
    <w:p>
      <w:pPr>
        <w:pStyle w:val="12"/>
        <w:rPr>
          <w:color w:val="auto"/>
          <w:highlight w:val="none"/>
        </w:rPr>
      </w:pPr>
      <w:r>
        <w:rPr>
          <w:color w:val="auto"/>
          <w:highlight w:val="none"/>
        </w:rPr>
        <w:t>Zapísaný v Obchodnom registri Okresného súdu ......., oddiel ......, vložka číslo: ....................</w:t>
      </w:r>
    </w:p>
    <w:p>
      <w:pPr>
        <w:pStyle w:val="12"/>
        <w:rPr>
          <w:color w:val="auto"/>
          <w:highlight w:val="none"/>
        </w:rPr>
      </w:pPr>
      <w:r>
        <w:rPr>
          <w:color w:val="auto"/>
          <w:highlight w:val="none"/>
        </w:rPr>
        <w:t xml:space="preserve">(ďalej iba „predávajúci“)  </w:t>
      </w:r>
    </w:p>
    <w:p>
      <w:pPr>
        <w:pStyle w:val="12"/>
        <w:jc w:val="center"/>
        <w:rPr>
          <w:color w:val="auto"/>
          <w:highlight w:val="none"/>
        </w:rPr>
      </w:pPr>
      <w:r>
        <w:rPr>
          <w:color w:val="auto"/>
          <w:highlight w:val="none"/>
        </w:rPr>
        <w:t>a</w:t>
      </w:r>
    </w:p>
    <w:p>
      <w:pPr>
        <w:pStyle w:val="12"/>
        <w:rPr>
          <w:color w:val="auto"/>
          <w:sz w:val="12"/>
          <w:szCs w:val="12"/>
          <w:highlight w:val="none"/>
        </w:rPr>
      </w:pPr>
    </w:p>
    <w:p>
      <w:pPr>
        <w:pStyle w:val="12"/>
        <w:rPr>
          <w:color w:val="auto"/>
          <w:highlight w:val="none"/>
        </w:rPr>
      </w:pPr>
      <w:r>
        <w:rPr>
          <w:b/>
          <w:color w:val="auto"/>
          <w:highlight w:val="none"/>
        </w:rPr>
        <w:t>2. Kupujúci :</w:t>
      </w:r>
      <w:r>
        <w:rPr>
          <w:b/>
          <w:color w:val="auto"/>
          <w:highlight w:val="none"/>
        </w:rPr>
        <w:tab/>
      </w:r>
      <w:r>
        <w:rPr>
          <w:b/>
          <w:color w:val="auto"/>
          <w:highlight w:val="none"/>
        </w:rPr>
        <w:tab/>
      </w:r>
      <w:r>
        <w:rPr>
          <w:b/>
          <w:bCs/>
          <w:color w:val="auto"/>
          <w:highlight w:val="none"/>
        </w:rPr>
        <w:t>Limas s.r.o. </w:t>
      </w:r>
    </w:p>
    <w:p>
      <w:pPr>
        <w:pStyle w:val="12"/>
        <w:rPr>
          <w:color w:val="auto"/>
          <w:highlight w:val="none"/>
        </w:rPr>
      </w:pPr>
      <w:r>
        <w:rPr>
          <w:color w:val="auto"/>
          <w:highlight w:val="none"/>
        </w:rPr>
        <w:t>So sídlom:</w:t>
      </w:r>
      <w:r>
        <w:rPr>
          <w:color w:val="auto"/>
          <w:highlight w:val="none"/>
        </w:rPr>
        <w:tab/>
      </w:r>
      <w:r>
        <w:rPr>
          <w:color w:val="auto"/>
          <w:highlight w:val="none"/>
        </w:rPr>
        <w:tab/>
      </w:r>
      <w:r>
        <w:rPr>
          <w:color w:val="auto"/>
          <w:highlight w:val="none"/>
        </w:rPr>
        <w:t xml:space="preserve">Obchodná ul. 1667 963 01 Krupina    </w:t>
      </w:r>
    </w:p>
    <w:p>
      <w:pPr>
        <w:pStyle w:val="12"/>
        <w:rPr>
          <w:color w:val="auto"/>
          <w:highlight w:val="none"/>
        </w:rPr>
      </w:pPr>
      <w:r>
        <w:rPr>
          <w:color w:val="auto"/>
          <w:highlight w:val="none"/>
        </w:rPr>
        <w:t xml:space="preserve">Štatutárny zástupca: </w:t>
      </w:r>
      <w:r>
        <w:rPr>
          <w:color w:val="auto"/>
          <w:highlight w:val="none"/>
        </w:rPr>
        <w:tab/>
      </w:r>
      <w:r>
        <w:rPr>
          <w:color w:val="auto"/>
          <w:highlight w:val="none"/>
        </w:rPr>
        <w:t>Stanislav Lihocký - konateľ spoločnosti</w:t>
      </w:r>
    </w:p>
    <w:p>
      <w:pPr>
        <w:pStyle w:val="12"/>
        <w:ind w:left="5664" w:hanging="4956"/>
        <w:rPr>
          <w:color w:val="auto"/>
          <w:highlight w:val="none"/>
        </w:rPr>
      </w:pPr>
      <w:r>
        <w:rPr>
          <w:color w:val="auto"/>
          <w:highlight w:val="none"/>
        </w:rPr>
        <w:t xml:space="preserve">- Osoba oprávnená konať vo veciach technických: </w:t>
      </w:r>
      <w:r>
        <w:rPr>
          <w:color w:val="auto"/>
          <w:highlight w:val="none"/>
        </w:rPr>
        <w:tab/>
      </w:r>
      <w:r>
        <w:rPr>
          <w:color w:val="auto"/>
          <w:highlight w:val="none"/>
        </w:rPr>
        <w:t xml:space="preserve">Stanislav Lihocký </w:t>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lang w:val="en-US"/>
        </w:rPr>
        <w:tab/>
      </w:r>
      <w:r>
        <w:rPr>
          <w:highlight w:val="none"/>
        </w:rPr>
        <w:t>48294454</w:t>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r>
        <w:rPr>
          <w:highlight w:val="none"/>
        </w:rPr>
        <w:t>2120132641</w:t>
      </w:r>
    </w:p>
    <w:p>
      <w:pPr>
        <w:pStyle w:val="12"/>
        <w:rPr>
          <w:color w:val="auto"/>
          <w:highlight w:val="none"/>
        </w:rPr>
      </w:pPr>
      <w:r>
        <w:rPr>
          <w:color w:val="auto"/>
          <w:highlight w:val="none"/>
        </w:rPr>
        <w:t xml:space="preserve">IČ DPH: </w:t>
      </w:r>
      <w:r>
        <w:rPr>
          <w:color w:val="auto"/>
          <w:highlight w:val="none"/>
        </w:rPr>
        <w:tab/>
      </w:r>
      <w:r>
        <w:rPr>
          <w:color w:val="auto"/>
          <w:highlight w:val="none"/>
        </w:rPr>
        <w:tab/>
      </w:r>
      <w:r>
        <w:rPr>
          <w:color w:val="auto"/>
          <w:highlight w:val="none"/>
        </w:rPr>
        <w:t>SK</w:t>
      </w:r>
      <w:r>
        <w:rPr>
          <w:highlight w:val="none"/>
        </w:rPr>
        <w:t>2120132641</w:t>
      </w:r>
    </w:p>
    <w:p>
      <w:pPr>
        <w:pStyle w:val="12"/>
        <w:rPr>
          <w:color w:val="auto"/>
          <w:highlight w:val="none"/>
        </w:rPr>
      </w:pPr>
      <w:r>
        <w:rPr>
          <w:color w:val="auto"/>
          <w:highlight w:val="none"/>
        </w:rPr>
        <w:t>Bank. spojenie :</w:t>
      </w:r>
      <w:r>
        <w:rPr>
          <w:color w:val="auto"/>
          <w:highlight w:val="none"/>
        </w:rPr>
        <w:tab/>
      </w:r>
      <w:r>
        <w:rPr>
          <w:color w:val="auto"/>
          <w:highlight w:val="none"/>
          <w:lang w:val="en-US"/>
        </w:rPr>
        <w:t>Slovens</w:t>
      </w:r>
      <w:r>
        <w:rPr>
          <w:color w:val="auto"/>
          <w:highlight w:val="none"/>
        </w:rPr>
        <w:t>ká</w:t>
      </w:r>
      <w:r>
        <w:rPr>
          <w:color w:val="auto"/>
          <w:highlight w:val="none"/>
          <w:lang w:val="en-US"/>
        </w:rPr>
        <w:t xml:space="preserve"> sporite</w:t>
      </w:r>
      <w:r>
        <w:rPr>
          <w:color w:val="auto"/>
          <w:highlight w:val="none"/>
        </w:rPr>
        <w:t>ľňa</w:t>
      </w:r>
      <w:r>
        <w:rPr>
          <w:color w:val="auto"/>
          <w:highlight w:val="none"/>
          <w:lang w:val="en-US"/>
        </w:rPr>
        <w:t>, a.s.</w:t>
      </w:r>
    </w:p>
    <w:p>
      <w:pPr>
        <w:pStyle w:val="12"/>
        <w:rPr>
          <w:color w:val="auto"/>
          <w:highlight w:val="none"/>
        </w:rPr>
      </w:pPr>
      <w:r>
        <w:rPr>
          <w:color w:val="auto"/>
          <w:highlight w:val="none"/>
        </w:rPr>
        <w:t>Číslo účtu IBAN:</w:t>
      </w:r>
      <w:r>
        <w:rPr>
          <w:color w:val="auto"/>
          <w:highlight w:val="none"/>
        </w:rPr>
        <w:tab/>
      </w:r>
      <w:r>
        <w:rPr>
          <w:color w:val="auto"/>
          <w:highlight w:val="none"/>
          <w:lang w:val="en-US"/>
        </w:rPr>
        <w:t>SK25</w:t>
      </w:r>
      <w:r>
        <w:rPr>
          <w:color w:val="auto"/>
          <w:highlight w:val="none"/>
        </w:rPr>
        <w:t xml:space="preserve"> </w:t>
      </w:r>
      <w:r>
        <w:rPr>
          <w:color w:val="auto"/>
          <w:highlight w:val="none"/>
          <w:lang w:val="en-US"/>
        </w:rPr>
        <w:t>0900</w:t>
      </w:r>
      <w:r>
        <w:rPr>
          <w:color w:val="auto"/>
          <w:highlight w:val="none"/>
        </w:rPr>
        <w:t xml:space="preserve"> </w:t>
      </w:r>
      <w:r>
        <w:rPr>
          <w:color w:val="auto"/>
          <w:highlight w:val="none"/>
          <w:lang w:val="en-US"/>
        </w:rPr>
        <w:t>0000</w:t>
      </w:r>
      <w:r>
        <w:rPr>
          <w:color w:val="auto"/>
          <w:highlight w:val="none"/>
        </w:rPr>
        <w:t xml:space="preserve"> </w:t>
      </w:r>
      <w:r>
        <w:rPr>
          <w:color w:val="auto"/>
          <w:highlight w:val="none"/>
          <w:lang w:val="en-US"/>
        </w:rPr>
        <w:t>0051</w:t>
      </w:r>
      <w:r>
        <w:rPr>
          <w:color w:val="auto"/>
          <w:highlight w:val="none"/>
        </w:rPr>
        <w:t xml:space="preserve"> </w:t>
      </w:r>
      <w:r>
        <w:rPr>
          <w:color w:val="auto"/>
          <w:highlight w:val="none"/>
          <w:lang w:val="en-US"/>
        </w:rPr>
        <w:t>6149</w:t>
      </w:r>
      <w:r>
        <w:rPr>
          <w:color w:val="auto"/>
          <w:highlight w:val="none"/>
        </w:rPr>
        <w:t xml:space="preserve"> </w:t>
      </w:r>
      <w:r>
        <w:rPr>
          <w:color w:val="auto"/>
          <w:highlight w:val="none"/>
          <w:lang w:val="en-US"/>
        </w:rPr>
        <w:t>4198</w:t>
      </w:r>
    </w:p>
    <w:p>
      <w:pPr>
        <w:pStyle w:val="12"/>
        <w:rPr>
          <w:color w:val="auto"/>
          <w:highlight w:val="none"/>
        </w:rPr>
      </w:pPr>
      <w:r>
        <w:rPr>
          <w:color w:val="auto"/>
          <w:highlight w:val="none"/>
        </w:rPr>
        <w:t>Zapísaný v Obchodnom registri Okresného súdu Banská Bystrica, oddiel Sro, vložka číslo: 28657/S</w:t>
      </w:r>
    </w:p>
    <w:p>
      <w:pPr>
        <w:pStyle w:val="12"/>
        <w:rPr>
          <w:color w:val="auto"/>
          <w:highlight w:val="none"/>
        </w:rPr>
      </w:pPr>
      <w:r>
        <w:rPr>
          <w:color w:val="auto"/>
          <w:highlight w:val="none"/>
        </w:rPr>
        <w:t>(ďalej iba „kupujúci“ a kupujúci a predávajúci spolu ako „zmluvné strany“)</w:t>
      </w:r>
    </w:p>
    <w:p>
      <w:pPr>
        <w:pStyle w:val="12"/>
        <w:rPr>
          <w:rFonts w:hint="default"/>
          <w:color w:val="auto"/>
          <w:highlight w:val="none"/>
          <w:lang w:val="sk-SK"/>
        </w:rPr>
      </w:pPr>
    </w:p>
    <w:p>
      <w:pPr>
        <w:pStyle w:val="12"/>
        <w:rPr>
          <w:color w:val="auto"/>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 xml:space="preserve">Predmet zmluvy </w:t>
      </w:r>
    </w:p>
    <w:p>
      <w:pPr>
        <w:pStyle w:val="12"/>
        <w:autoSpaceDE/>
        <w:autoSpaceDN/>
        <w:adjustRightInd/>
        <w:jc w:val="both"/>
        <w:rPr>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Predmetom zmluvy je záväzok predávajúceho dodať kupujúcemu tovar: </w:t>
      </w:r>
      <w:r>
        <w:rPr>
          <w:rFonts w:hint="default"/>
          <w:b/>
          <w:i/>
          <w:iCs/>
          <w:highlight w:val="none"/>
          <w:lang w:val="sk-SK"/>
        </w:rPr>
        <w:t>Mostová váha</w:t>
      </w:r>
      <w:bookmarkStart w:id="0" w:name="_GoBack"/>
      <w:bookmarkEnd w:id="0"/>
      <w:r>
        <w:rPr>
          <w:b/>
          <w:i/>
          <w:iCs/>
          <w:highlight w:val="none"/>
        </w:rPr>
        <w:t xml:space="preserve">  v počte 1 ks </w:t>
      </w:r>
      <w:r>
        <w:rPr>
          <w:highlight w:val="none"/>
        </w:rPr>
        <w:t xml:space="preserve">o technickej špecifikácii podľa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zo dňa .....................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sa rovnako zaväzuje bezplatne vykonať zaškolenie obsluhy kupujúceho po predchádzajúcej dohode oboch zmluvných strán o termíne školenia</w:t>
      </w:r>
      <w:r>
        <w:rPr>
          <w:highlight w:val="none"/>
        </w:rPr>
        <w:t xml:space="preserve">. </w:t>
      </w:r>
    </w:p>
    <w:p>
      <w:pPr>
        <w:pStyle w:val="12"/>
        <w:jc w:val="both"/>
        <w:rPr>
          <w:color w:val="auto"/>
          <w:sz w:val="12"/>
          <w:szCs w:val="12"/>
          <w:highlight w:val="none"/>
        </w:rPr>
      </w:pPr>
    </w:p>
    <w:p>
      <w:pPr>
        <w:pStyle w:val="12"/>
        <w:numPr>
          <w:ilvl w:val="0"/>
          <w:numId w:val="0"/>
        </w:numPr>
        <w:autoSpaceDE/>
        <w:autoSpaceDN/>
        <w:adjustRightInd/>
        <w:ind w:left="360" w:leftChars="0"/>
        <w:jc w:val="both"/>
        <w:rPr>
          <w:b/>
          <w:color w:val="auto"/>
          <w:sz w:val="28"/>
          <w:szCs w:val="28"/>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Miesto a spôsob dodania tovaru</w:t>
      </w:r>
    </w:p>
    <w:p>
      <w:pPr>
        <w:pStyle w:val="12"/>
        <w:ind w:left="360"/>
        <w:rPr>
          <w:b/>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Miestom dodania tovaru je </w:t>
      </w:r>
      <w:r>
        <w:rPr>
          <w:rFonts w:hint="default"/>
          <w:color w:val="auto"/>
          <w:highlight w:val="none"/>
          <w:lang w:val="sk-SK"/>
        </w:rPr>
        <w:t>sídlo kupujúceho</w:t>
      </w:r>
      <w:r>
        <w:rPr>
          <w:color w:val="auto"/>
          <w:highlight w:val="none"/>
        </w:rPr>
        <w:t>, na ktorom si kupujúci tovar prevezme. O presnom termíne dodania tovaru je predávajúci povinný telefonicky informovať zástupcu kupujúceho povereného na prevzatie tovaru od predávajúceho, a to minimálne 2 pracovné dni pred určeným termínom dodania tovaru. Prevzatie tovaru vykoná konateľ spoločnosti, Stanislav Lihocký.</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rPr>
          <w:highlight w:val="none"/>
        </w:rPr>
      </w:pPr>
      <w:r>
        <w:rPr>
          <w:color w:val="auto"/>
          <w:highlight w:val="none"/>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numPr>
          <w:ilvl w:val="0"/>
          <w:numId w:val="0"/>
        </w:numPr>
        <w:tabs>
          <w:tab w:val="left" w:pos="567"/>
        </w:tabs>
        <w:autoSpaceDE/>
        <w:autoSpaceDN/>
        <w:adjustRightInd/>
        <w:ind w:leftChars="0"/>
        <w:jc w:val="both"/>
        <w:rPr>
          <w:highlight w:val="none"/>
        </w:rPr>
      </w:pPr>
    </w:p>
    <w:p>
      <w:pPr>
        <w:pStyle w:val="12"/>
        <w:autoSpaceDE/>
        <w:autoSpaceDN/>
        <w:adjustRightInd/>
        <w:ind w:left="567"/>
        <w:jc w:val="both"/>
        <w:rPr>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Kúpna cena</w:t>
      </w:r>
    </w:p>
    <w:p>
      <w:pPr>
        <w:pStyle w:val="12"/>
        <w:ind w:left="360"/>
        <w:rPr>
          <w:b/>
          <w:color w:val="auto"/>
          <w:sz w:val="12"/>
          <w:szCs w:val="12"/>
          <w:highlight w:val="none"/>
        </w:rPr>
      </w:pPr>
    </w:p>
    <w:p>
      <w:pPr>
        <w:pStyle w:val="12"/>
        <w:ind w:left="567" w:hanging="567"/>
        <w:jc w:val="both"/>
        <w:rPr>
          <w:bCs/>
          <w:color w:val="auto"/>
          <w:highlight w:val="none"/>
        </w:rPr>
      </w:pPr>
      <w:r>
        <w:rPr>
          <w:color w:val="auto"/>
          <w:highlight w:val="none"/>
        </w:rPr>
        <w:t>4.1.</w:t>
      </w:r>
      <w:r>
        <w:rPr>
          <w:bCs/>
          <w:color w:val="auto"/>
          <w:highlight w:val="none"/>
        </w:rPr>
        <w:tab/>
      </w:r>
      <w:r>
        <w:rPr>
          <w:bCs/>
          <w:color w:val="auto"/>
          <w:highlight w:val="none"/>
        </w:rPr>
        <w:t xml:space="preserve">Kúpna cena za dodaný tovar v rozsahu podľa článku 2 zmluvy je stanovená dohodou zmluvných strán v zmysle zákona č. 18/1996 Z. z. o cenách v platnom znení a vyhlášky MF SR č. 87/1996 Z. z. </w:t>
      </w:r>
      <w:r>
        <w:rPr>
          <w:highlight w:val="none"/>
        </w:rPr>
        <w:t xml:space="preserve">ktorou sa vykonáva zákon č. 18/1996 Z. z. o cenách, </w:t>
      </w:r>
      <w:r>
        <w:rPr>
          <w:bCs/>
          <w:color w:val="auto"/>
          <w:highlight w:val="none"/>
        </w:rPr>
        <w:t>ako cena konečná, vo výške:</w:t>
      </w:r>
    </w:p>
    <w:p>
      <w:pPr>
        <w:pStyle w:val="12"/>
        <w:ind w:left="567" w:hanging="567"/>
        <w:jc w:val="both"/>
        <w:rPr>
          <w:bCs/>
          <w:color w:val="auto"/>
          <w:sz w:val="12"/>
          <w:szCs w:val="12"/>
          <w:highlight w:val="none"/>
        </w:rPr>
      </w:pPr>
    </w:p>
    <w:p>
      <w:pPr>
        <w:pStyle w:val="12"/>
        <w:rPr>
          <w:b/>
          <w:bCs/>
          <w:color w:val="auto"/>
          <w:highlight w:val="none"/>
        </w:rPr>
      </w:pPr>
      <w:r>
        <w:rPr>
          <w:b/>
          <w:bCs/>
          <w:color w:val="auto"/>
          <w:highlight w:val="none"/>
        </w:rPr>
        <w:tab/>
      </w:r>
      <w:r>
        <w:rPr>
          <w:b/>
          <w:bCs/>
          <w:color w:val="auto"/>
          <w:highlight w:val="none"/>
        </w:rPr>
        <w:t>Celková kúpna cena tovaru spolu bez DPH:</w:t>
      </w:r>
      <w:r>
        <w:rPr>
          <w:b/>
          <w:bCs/>
          <w:color w:val="auto"/>
          <w:highlight w:val="none"/>
        </w:rPr>
        <w:tab/>
      </w:r>
      <w:r>
        <w:rPr>
          <w:b/>
          <w:bCs/>
          <w:color w:val="auto"/>
          <w:highlight w:val="none"/>
        </w:rPr>
        <w:t xml:space="preserve">  </w:t>
      </w:r>
      <w:r>
        <w:rPr>
          <w:b/>
          <w:bCs/>
          <w:color w:val="auto"/>
          <w:highlight w:val="none"/>
        </w:rPr>
        <w:tab/>
      </w:r>
      <w:r>
        <w:rPr>
          <w:b/>
          <w:bCs/>
          <w:color w:val="auto"/>
          <w:highlight w:val="none"/>
        </w:rPr>
        <w:tab/>
      </w:r>
      <w:r>
        <w:rPr>
          <w:b/>
          <w:bCs/>
          <w:color w:val="auto"/>
          <w:highlight w:val="none"/>
        </w:rPr>
        <w:t xml:space="preserve"> €</w:t>
      </w:r>
    </w:p>
    <w:p>
      <w:pPr>
        <w:pStyle w:val="12"/>
        <w:rPr>
          <w:color w:val="auto"/>
          <w:sz w:val="16"/>
          <w:szCs w:val="16"/>
          <w:highlight w:val="none"/>
        </w:rPr>
      </w:pPr>
    </w:p>
    <w:p>
      <w:pPr>
        <w:pStyle w:val="12"/>
        <w:rPr>
          <w:bCs/>
          <w:color w:val="auto"/>
          <w:highlight w:val="none"/>
        </w:rPr>
      </w:pPr>
      <w:r>
        <w:rPr>
          <w:bCs/>
          <w:color w:val="auto"/>
          <w:highlight w:val="none"/>
        </w:rPr>
        <w:tab/>
      </w:r>
      <w:r>
        <w:rPr>
          <w:bCs/>
          <w:color w:val="auto"/>
          <w:highlight w:val="none"/>
        </w:rPr>
        <w:t xml:space="preserve">DPH 20 % : </w:t>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 xml:space="preserve">  </w:t>
      </w:r>
      <w:r>
        <w:rPr>
          <w:bCs/>
          <w:color w:val="auto"/>
          <w:highlight w:val="none"/>
        </w:rPr>
        <w:tab/>
      </w:r>
      <w:r>
        <w:rPr>
          <w:bCs/>
          <w:color w:val="auto"/>
          <w:highlight w:val="none"/>
        </w:rPr>
        <w:tab/>
      </w:r>
      <w:r>
        <w:rPr>
          <w:b/>
          <w:bCs/>
          <w:color w:val="auto"/>
          <w:highlight w:val="none"/>
        </w:rPr>
        <w:t xml:space="preserve"> </w:t>
      </w:r>
      <w:r>
        <w:rPr>
          <w:bCs/>
          <w:color w:val="auto"/>
          <w:highlight w:val="none"/>
        </w:rPr>
        <w:t xml:space="preserve">€        </w:t>
      </w:r>
    </w:p>
    <w:p>
      <w:pPr>
        <w:pStyle w:val="12"/>
        <w:rPr>
          <w:bCs/>
          <w:color w:val="auto"/>
          <w:sz w:val="16"/>
          <w:szCs w:val="16"/>
          <w:highlight w:val="none"/>
        </w:rPr>
      </w:pPr>
    </w:p>
    <w:p>
      <w:pPr>
        <w:pStyle w:val="12"/>
        <w:tabs>
          <w:tab w:val="left" w:pos="567"/>
        </w:tabs>
        <w:rPr>
          <w:b/>
          <w:bCs/>
          <w:color w:val="auto"/>
          <w:highlight w:val="none"/>
        </w:rPr>
      </w:pPr>
      <w:r>
        <w:rPr>
          <w:b/>
          <w:bCs/>
          <w:color w:val="auto"/>
          <w:highlight w:val="none"/>
        </w:rPr>
        <w:tab/>
      </w:r>
      <w:r>
        <w:rPr>
          <w:b/>
          <w:bCs/>
          <w:color w:val="auto"/>
          <w:highlight w:val="none"/>
        </w:rPr>
        <w:tab/>
      </w:r>
      <w:r>
        <w:rPr>
          <w:b/>
          <w:bCs/>
          <w:color w:val="auto"/>
          <w:highlight w:val="none"/>
        </w:rPr>
        <w:t>Celková kúpna cena tovaru spolu s DPH :</w:t>
      </w:r>
      <w:r>
        <w:rPr>
          <w:b/>
          <w:bCs/>
          <w:color w:val="auto"/>
          <w:highlight w:val="none"/>
        </w:rPr>
        <w:tab/>
      </w:r>
      <w:r>
        <w:rPr>
          <w:b/>
          <w:bCs/>
          <w:color w:val="auto"/>
          <w:highlight w:val="none"/>
        </w:rPr>
        <w:tab/>
      </w:r>
      <w:r>
        <w:rPr>
          <w:b/>
          <w:bCs/>
          <w:color w:val="auto"/>
          <w:highlight w:val="none"/>
        </w:rPr>
        <w:tab/>
      </w:r>
      <w:r>
        <w:rPr>
          <w:b/>
          <w:bCs/>
          <w:color w:val="auto"/>
          <w:highlight w:val="none"/>
        </w:rPr>
        <w:t xml:space="preserve"> €    </w:t>
      </w:r>
    </w:p>
    <w:p>
      <w:pPr>
        <w:pStyle w:val="12"/>
        <w:tabs>
          <w:tab w:val="left" w:pos="567"/>
        </w:tabs>
        <w:rPr>
          <w:bCs/>
          <w:color w:val="auto"/>
          <w:sz w:val="12"/>
          <w:szCs w:val="12"/>
          <w:highlight w:val="none"/>
        </w:rPr>
      </w:pPr>
    </w:p>
    <w:p>
      <w:pPr>
        <w:pStyle w:val="12"/>
        <w:tabs>
          <w:tab w:val="left" w:pos="567"/>
        </w:tabs>
        <w:rPr>
          <w:bCs/>
          <w:color w:val="auto"/>
          <w:highlight w:val="none"/>
        </w:rPr>
      </w:pPr>
      <w:r>
        <w:rPr>
          <w:bCs/>
          <w:color w:val="auto"/>
          <w:highlight w:val="none"/>
        </w:rPr>
        <w:tab/>
      </w:r>
      <w:r>
        <w:rPr>
          <w:bCs/>
          <w:color w:val="auto"/>
          <w:highlight w:val="none"/>
        </w:rPr>
        <w:tab/>
      </w:r>
      <w:r>
        <w:rPr>
          <w:bCs/>
          <w:color w:val="auto"/>
          <w:highlight w:val="none"/>
        </w:rPr>
        <w:t>Slovom: ............................................. Eur,...... centov</w:t>
      </w:r>
    </w:p>
    <w:p>
      <w:pPr>
        <w:pStyle w:val="12"/>
        <w:autoSpaceDE/>
        <w:autoSpaceDN/>
        <w:adjustRightInd/>
        <w:ind w:left="567"/>
        <w:jc w:val="both"/>
        <w:rPr>
          <w:bCs/>
          <w:color w:val="auto"/>
          <w:sz w:val="12"/>
          <w:szCs w:val="12"/>
          <w:highlight w:val="none"/>
        </w:rPr>
      </w:pPr>
    </w:p>
    <w:p>
      <w:pPr>
        <w:pStyle w:val="13"/>
        <w:numPr>
          <w:ilvl w:val="1"/>
          <w:numId w:val="2"/>
        </w:numPr>
        <w:tabs>
          <w:tab w:val="left" w:pos="567"/>
          <w:tab w:val="clear" w:pos="360"/>
        </w:tabs>
        <w:ind w:left="546" w:hanging="546"/>
        <w:jc w:val="both"/>
        <w:rPr>
          <w:highlight w:val="none"/>
        </w:rPr>
      </w:pPr>
      <w:r>
        <w:rPr>
          <w:bCs/>
          <w:highlight w:val="none"/>
        </w:rPr>
        <w:t>Ku celkovej kúpnej cene tovaru spolu je pripočítaná DPH podľa právnych predpisov</w:t>
      </w:r>
      <w:r>
        <w:rPr>
          <w:highlight w:val="none"/>
        </w:rPr>
        <w:t xml:space="preserve"> </w:t>
      </w:r>
      <w:r>
        <w:rPr>
          <w:bCs/>
          <w:highlight w:val="none"/>
        </w:rPr>
        <w:t>platných v čase uskutočnenia zdaniteľného plnenia.</w:t>
      </w:r>
    </w:p>
    <w:p>
      <w:pPr>
        <w:pStyle w:val="13"/>
        <w:numPr>
          <w:ilvl w:val="1"/>
          <w:numId w:val="2"/>
        </w:numPr>
        <w:tabs>
          <w:tab w:val="left" w:pos="567"/>
          <w:tab w:val="clear" w:pos="360"/>
        </w:tabs>
        <w:jc w:val="both"/>
        <w:rPr>
          <w:highlight w:val="none"/>
        </w:rPr>
      </w:pPr>
      <w:r>
        <w:rPr>
          <w:highlight w:val="none"/>
        </w:rPr>
        <w:tab/>
      </w:r>
      <w:r>
        <w:rPr>
          <w:highlight w:val="none"/>
        </w:rPr>
        <w:t xml:space="preserve">Predávajúci vyhlasuje, že ku dňu podpisu zmluvy nie je dlžníkom správcu dane a </w:t>
      </w:r>
      <w:r>
        <w:rPr>
          <w:highlight w:val="none"/>
        </w:rPr>
        <w:tab/>
      </w:r>
      <w:r>
        <w:rPr>
          <w:highlight w:val="none"/>
        </w:rPr>
        <w:t xml:space="preserve">neexistujú dôvody, na základe ktorých by sa kupujúci mal stať ručiteľom za daň podľa § </w:t>
      </w:r>
      <w:r>
        <w:rPr>
          <w:highlight w:val="none"/>
        </w:rPr>
        <w:tab/>
      </w:r>
      <w:r>
        <w:rPr>
          <w:highlight w:val="none"/>
        </w:rPr>
        <w:t xml:space="preserve">69 ods. 14 v spojení s § 69b zákona č. 222/2004 Z.z. o dani z pridanej hodnoty v.z.n.p. </w:t>
      </w:r>
      <w:r>
        <w:rPr>
          <w:highlight w:val="none"/>
        </w:rPr>
        <w:tab/>
      </w:r>
      <w:r>
        <w:rPr>
          <w:highlight w:val="none"/>
        </w:rPr>
        <w:t xml:space="preserve">(ďalej len „zákon o DPH“) a nie je zaradený do zoznamu platiteľov DPH, u ktorých nastali </w:t>
      </w:r>
      <w:r>
        <w:rPr>
          <w:highlight w:val="none"/>
        </w:rPr>
        <w:tab/>
      </w:r>
      <w:r>
        <w:rPr>
          <w:highlight w:val="none"/>
        </w:rPr>
        <w:t xml:space="preserve">dôvody na zrušenie registrácie pre DPH, vedenom Finančným riaditeľstvom SR a </w:t>
      </w:r>
      <w:r>
        <w:rPr>
          <w:highlight w:val="none"/>
        </w:rPr>
        <w:tab/>
      </w:r>
      <w:r>
        <w:rPr>
          <w:highlight w:val="none"/>
        </w:rPr>
        <w:t xml:space="preserve">zverejnenom na portáli Finančnej správy Slovenskej republiky. Predávajúci ďalej </w:t>
      </w:r>
      <w:r>
        <w:rPr>
          <w:highlight w:val="none"/>
        </w:rPr>
        <w:tab/>
      </w:r>
      <w:r>
        <w:rPr>
          <w:highlight w:val="none"/>
        </w:rPr>
        <w:t xml:space="preserve">vyhlasuje, že bezodkladne po tom, ako bude mať vedomosť, že je zaradený do zoznamu </w:t>
      </w:r>
      <w:r>
        <w:rPr>
          <w:highlight w:val="none"/>
        </w:rPr>
        <w:tab/>
      </w:r>
      <w:r>
        <w:rPr>
          <w:highlight w:val="none"/>
        </w:rPr>
        <w:t xml:space="preserve">platiteľov DPH, u ktorých nastali dôvody na zrušenie registrácie pre DPH, túto skutočnosť </w:t>
      </w:r>
      <w:r>
        <w:rPr>
          <w:highlight w:val="none"/>
        </w:rPr>
        <w:tab/>
      </w:r>
      <w:r>
        <w:rPr>
          <w:highlight w:val="none"/>
        </w:rPr>
        <w:t xml:space="preserve">písomne oznámi kupujúcemu. </w:t>
      </w:r>
    </w:p>
    <w:p>
      <w:pPr>
        <w:pStyle w:val="13"/>
        <w:numPr>
          <w:ilvl w:val="1"/>
          <w:numId w:val="2"/>
        </w:numPr>
        <w:tabs>
          <w:tab w:val="left" w:pos="567"/>
          <w:tab w:val="clear" w:pos="360"/>
        </w:tabs>
        <w:jc w:val="both"/>
        <w:rPr>
          <w:highlight w:val="none"/>
        </w:rPr>
      </w:pPr>
      <w:r>
        <w:rPr>
          <w:highlight w:val="none"/>
        </w:rPr>
        <w:tab/>
      </w:r>
      <w:r>
        <w:rPr>
          <w:highlight w:val="none"/>
        </w:rPr>
        <w:t xml:space="preserve">Kupujúci je oprávnený zadržať z fakturovanej celkovej kúpnej ceny tovaru spolu sumu </w:t>
      </w:r>
      <w:r>
        <w:rPr>
          <w:highlight w:val="none"/>
        </w:rPr>
        <w:tab/>
      </w:r>
      <w:r>
        <w:rPr>
          <w:highlight w:val="none"/>
        </w:rPr>
        <w:t xml:space="preserve">zodpovedajúcu </w:t>
      </w:r>
      <w:r>
        <w:rPr>
          <w:highlight w:val="none"/>
        </w:rPr>
        <w:tab/>
      </w:r>
      <w:r>
        <w:rPr>
          <w:highlight w:val="none"/>
        </w:rPr>
        <w:t xml:space="preserve">sume DPH uvedenej na faktúre vystavenej predávajúcim v prípade, ak </w:t>
      </w:r>
      <w:r>
        <w:rPr>
          <w:highlight w:val="none"/>
        </w:rPr>
        <w:tab/>
      </w:r>
      <w:r>
        <w:rPr>
          <w:highlight w:val="none"/>
        </w:rPr>
        <w:t xml:space="preserve">u predávajúceho nastanú dôvody na zrušenie registrácie podľa § 81 ods. 3 písm. b) druhého </w:t>
      </w:r>
      <w:r>
        <w:rPr>
          <w:highlight w:val="none"/>
        </w:rPr>
        <w:tab/>
      </w:r>
      <w:r>
        <w:rPr>
          <w:highlight w:val="none"/>
        </w:rPr>
        <w:t xml:space="preserve">bodu zákona o DPH v znení neskorších predpisov, alebo ak predávajúci bude zverejnený v </w:t>
      </w:r>
      <w:r>
        <w:rPr>
          <w:highlight w:val="none"/>
        </w:rPr>
        <w:tab/>
      </w:r>
      <w:r>
        <w:rPr>
          <w:highlight w:val="none"/>
        </w:rPr>
        <w:t xml:space="preserve">príslušnom zozname osôb na zrušenie registrácie pre DPH vedenom Finančným </w:t>
      </w:r>
      <w:r>
        <w:rPr>
          <w:highlight w:val="none"/>
        </w:rPr>
        <w:tab/>
      </w:r>
      <w:r>
        <w:rPr>
          <w:highlight w:val="none"/>
        </w:rPr>
        <w:t xml:space="preserve">riaditeľstvom SR, alebo ak bude daná dôvodná obava, že predávajúci príslušnú DPH alebo </w:t>
      </w:r>
      <w:r>
        <w:rPr>
          <w:highlight w:val="none"/>
        </w:rPr>
        <w:tab/>
      </w:r>
      <w:r>
        <w:rPr>
          <w:highlight w:val="none"/>
        </w:rPr>
        <w:t xml:space="preserve">jej časť v rozpore so zákonom o DPH nezaplatí. Kupujúci je oprávnený takto zadržanú </w:t>
      </w:r>
      <w:r>
        <w:rPr>
          <w:highlight w:val="none"/>
        </w:rPr>
        <w:tab/>
      </w:r>
      <w:r>
        <w:rPr>
          <w:highlight w:val="none"/>
        </w:rPr>
        <w:t xml:space="preserve">sumu použiť na úhradu neuhradenej DPH z faktúry vystavenej predávajúcim kupujúcemu </w:t>
      </w:r>
      <w:r>
        <w:rPr>
          <w:highlight w:val="none"/>
        </w:rPr>
        <w:tab/>
      </w:r>
      <w:r>
        <w:rPr>
          <w:highlight w:val="none"/>
        </w:rPr>
        <w:t>za podmienok dohodnutých zmluvou.</w:t>
      </w:r>
    </w:p>
    <w:p>
      <w:pPr>
        <w:pStyle w:val="13"/>
        <w:numPr>
          <w:ilvl w:val="1"/>
          <w:numId w:val="2"/>
        </w:numPr>
        <w:tabs>
          <w:tab w:val="left" w:pos="567"/>
          <w:tab w:val="clear" w:pos="360"/>
        </w:tabs>
        <w:jc w:val="both"/>
        <w:rPr>
          <w:highlight w:val="none"/>
        </w:rPr>
      </w:pPr>
      <w:r>
        <w:rPr>
          <w:highlight w:val="none"/>
        </w:rPr>
        <w:tab/>
      </w:r>
      <w:r>
        <w:rPr>
          <w:highlight w:val="none"/>
        </w:rPr>
        <w:t xml:space="preserve">Kupujúci, ktorému bola podľa § 69b zákona o DPH ako ručiteľovi uložená rozhodnutím </w:t>
      </w:r>
      <w:r>
        <w:rPr>
          <w:highlight w:val="none"/>
        </w:rPr>
        <w:tab/>
      </w:r>
      <w:r>
        <w:rPr>
          <w:highlight w:val="none"/>
        </w:rPr>
        <w:t xml:space="preserve">daňového úradu povinnosť uhradiť nezaplatenú DPH alebo jej časť za predávajúceho, alebo </w:t>
      </w:r>
      <w:r>
        <w:rPr>
          <w:highlight w:val="none"/>
        </w:rPr>
        <w:tab/>
      </w:r>
      <w:r>
        <w:rPr>
          <w:highlight w:val="none"/>
        </w:rPr>
        <w:t xml:space="preserve">ak daňový úrad vydá rozhodnutie o tom, že použije na úhradu predávajúcim nezaplatenej </w:t>
      </w:r>
      <w:r>
        <w:rPr>
          <w:highlight w:val="none"/>
        </w:rPr>
        <w:tab/>
      </w:r>
      <w:r>
        <w:rPr>
          <w:highlight w:val="none"/>
        </w:rPr>
        <w:t xml:space="preserve">DPH alebo jej časti nadmerný odpočet kupujúceho alebo jeho časť, je oprávnený </w:t>
      </w:r>
      <w:r>
        <w:rPr>
          <w:highlight w:val="none"/>
        </w:rPr>
        <w:tab/>
      </w:r>
      <w:r>
        <w:rPr>
          <w:highlight w:val="none"/>
        </w:rPr>
        <w:t>požadovať od predávajúceho náhradu za takto uhradenú nezaplatenú DPH alebo jej časť.</w:t>
      </w:r>
    </w:p>
    <w:p>
      <w:pPr>
        <w:pStyle w:val="13"/>
        <w:numPr>
          <w:ilvl w:val="1"/>
          <w:numId w:val="2"/>
        </w:numPr>
        <w:tabs>
          <w:tab w:val="left" w:pos="567"/>
          <w:tab w:val="clear" w:pos="360"/>
        </w:tabs>
        <w:jc w:val="both"/>
        <w:rPr>
          <w:bCs/>
          <w:highlight w:val="none"/>
        </w:rPr>
      </w:pPr>
      <w:r>
        <w:rPr>
          <w:highlight w:val="none"/>
        </w:rPr>
        <w:tab/>
      </w:r>
      <w:r>
        <w:rPr>
          <w:highlight w:val="none"/>
        </w:rPr>
        <w:t xml:space="preserve">Ak sa naplnia podmienky podľa § 69 a 69b zákona o DPH, predávajúci sa zaväzuje uhradiť </w:t>
      </w:r>
      <w:r>
        <w:rPr>
          <w:highlight w:val="none"/>
        </w:rPr>
        <w:tab/>
      </w:r>
      <w:r>
        <w:rPr>
          <w:highlight w:val="none"/>
        </w:rPr>
        <w:t>kupujúcemu všetky finančné náklady, ktoré v tejto súvislosti kupujúcemu vzniknú.</w:t>
      </w:r>
    </w:p>
    <w:p>
      <w:pPr>
        <w:pStyle w:val="13"/>
        <w:numPr>
          <w:ilvl w:val="1"/>
          <w:numId w:val="2"/>
        </w:numPr>
        <w:tabs>
          <w:tab w:val="left" w:pos="567"/>
          <w:tab w:val="clear" w:pos="360"/>
        </w:tabs>
        <w:jc w:val="both"/>
        <w:rPr>
          <w:bCs/>
          <w:highlight w:val="none"/>
        </w:rPr>
      </w:pPr>
      <w:r>
        <w:rPr>
          <w:bCs/>
          <w:highlight w:val="none"/>
        </w:rPr>
        <w:tab/>
      </w:r>
      <w:r>
        <w:rPr>
          <w:bCs/>
          <w:highlight w:val="none"/>
        </w:rPr>
        <w:t xml:space="preserve">Celková kúpna cena tovaru spolu je konečná a nemenná. V celkovej kúpnej cene tovaru </w:t>
      </w:r>
      <w:r>
        <w:rPr>
          <w:bCs/>
          <w:highlight w:val="none"/>
        </w:rPr>
        <w:tab/>
      </w:r>
      <w:r>
        <w:rPr>
          <w:bCs/>
          <w:highlight w:val="none"/>
        </w:rPr>
        <w:t xml:space="preserve">spolu sú zahrnuté tiež náklady spojené s dodávkou predmetu kúpy (tovaru) do sídla </w:t>
      </w:r>
      <w:r>
        <w:rPr>
          <w:bCs/>
          <w:highlight w:val="none"/>
        </w:rPr>
        <w:tab/>
      </w:r>
      <w:r>
        <w:rPr>
          <w:bCs/>
          <w:highlight w:val="none"/>
        </w:rPr>
        <w:t xml:space="preserve">kupujúceho a náklady na zaškolenie obsluhy </w:t>
      </w:r>
      <w:r>
        <w:rPr>
          <w:bCs/>
          <w:highlight w:val="none"/>
        </w:rPr>
        <w:tab/>
      </w:r>
      <w:r>
        <w:rPr>
          <w:bCs/>
          <w:highlight w:val="none"/>
        </w:rPr>
        <w:t xml:space="preserve">a rovnako aj všetky ďalšie výdavky </w:t>
      </w:r>
      <w:r>
        <w:rPr>
          <w:bCs/>
          <w:highlight w:val="none"/>
        </w:rPr>
        <w:tab/>
      </w:r>
      <w:r>
        <w:rPr>
          <w:bCs/>
          <w:highlight w:val="none"/>
        </w:rPr>
        <w:t xml:space="preserve">predávajúceho spojené so splnením záväzkov vyplývajúcich zo zmluvy. Celková kúpna </w:t>
      </w:r>
      <w:r>
        <w:rPr>
          <w:bCs/>
          <w:highlight w:val="none"/>
        </w:rPr>
        <w:tab/>
      </w:r>
      <w:r>
        <w:rPr>
          <w:bCs/>
          <w:highlight w:val="none"/>
        </w:rPr>
        <w:t xml:space="preserve">cena tovaru spolu bola dohodnutá na základe akceptácie cenovej </w:t>
      </w:r>
      <w:r>
        <w:rPr>
          <w:highlight w:val="none"/>
        </w:rPr>
        <w:t>ponuky predávajúceho.</w:t>
      </w:r>
    </w:p>
    <w:p>
      <w:pPr>
        <w:pStyle w:val="13"/>
        <w:numPr>
          <w:ilvl w:val="0"/>
          <w:numId w:val="0"/>
        </w:numPr>
        <w:tabs>
          <w:tab w:val="left" w:pos="567"/>
        </w:tabs>
        <w:ind w:leftChars="0"/>
        <w:jc w:val="both"/>
        <w:rPr>
          <w:bCs/>
          <w:highlight w:val="none"/>
        </w:rPr>
      </w:pPr>
    </w:p>
    <w:p>
      <w:pPr>
        <w:pStyle w:val="13"/>
        <w:ind w:left="360"/>
        <w:jc w:val="both"/>
        <w:rPr>
          <w:bCs/>
          <w:sz w:val="12"/>
          <w:szCs w:val="12"/>
          <w:highlight w:val="none"/>
        </w:rPr>
      </w:pPr>
    </w:p>
    <w:p>
      <w:pPr>
        <w:pStyle w:val="12"/>
        <w:autoSpaceDE/>
        <w:autoSpaceDN/>
        <w:adjustRightInd/>
        <w:ind w:left="567"/>
        <w:jc w:val="center"/>
        <w:rPr>
          <w:b/>
          <w:color w:val="auto"/>
          <w:sz w:val="28"/>
          <w:szCs w:val="28"/>
          <w:highlight w:val="none"/>
        </w:rPr>
      </w:pPr>
      <w:r>
        <w:rPr>
          <w:b/>
          <w:color w:val="auto"/>
          <w:sz w:val="28"/>
          <w:szCs w:val="28"/>
          <w:highlight w:val="none"/>
        </w:rPr>
        <w:t>5. Termín dodania tovaru</w:t>
      </w:r>
    </w:p>
    <w:p>
      <w:pPr>
        <w:pStyle w:val="12"/>
        <w:jc w:val="center"/>
        <w:rPr>
          <w:b/>
          <w:color w:val="auto"/>
          <w:sz w:val="16"/>
          <w:szCs w:val="16"/>
          <w:highlight w:val="none"/>
        </w:rPr>
      </w:pPr>
    </w:p>
    <w:p>
      <w:pPr>
        <w:pStyle w:val="12"/>
        <w:tabs>
          <w:tab w:val="left" w:pos="567"/>
        </w:tabs>
        <w:jc w:val="both"/>
        <w:rPr>
          <w:color w:val="auto"/>
          <w:highlight w:val="none"/>
        </w:rPr>
      </w:pPr>
      <w:r>
        <w:rPr>
          <w:color w:val="auto"/>
          <w:highlight w:val="none"/>
        </w:rPr>
        <w:t xml:space="preserve">5.1.  </w:t>
      </w:r>
      <w:r>
        <w:rPr>
          <w:color w:val="auto"/>
          <w:highlight w:val="none"/>
        </w:rPr>
        <w:tab/>
      </w:r>
      <w:r>
        <w:rPr>
          <w:color w:val="auto"/>
          <w:highlight w:val="none"/>
        </w:rPr>
        <w:t xml:space="preserve">Zmluvné strany si dohodli termín dodania tovaru </w:t>
      </w:r>
      <w:r>
        <w:rPr>
          <w:bCs/>
          <w:color w:val="auto"/>
          <w:highlight w:val="none"/>
        </w:rPr>
        <w:t>do</w:t>
      </w:r>
      <w:r>
        <w:rPr>
          <w:color w:val="auto"/>
          <w:highlight w:val="none"/>
        </w:rPr>
        <w:t xml:space="preserve"> </w:t>
      </w:r>
      <w:r>
        <w:rPr>
          <w:rFonts w:hint="default"/>
          <w:color w:val="auto"/>
          <w:highlight w:val="none"/>
          <w:lang w:val="sk-SK"/>
        </w:rPr>
        <w:t>120</w:t>
      </w:r>
      <w:r>
        <w:rPr>
          <w:color w:val="auto"/>
          <w:highlight w:val="none"/>
        </w:rPr>
        <w:t xml:space="preserve"> dní</w:t>
      </w:r>
      <w:r>
        <w:rPr>
          <w:b/>
          <w:color w:val="auto"/>
          <w:highlight w:val="none"/>
        </w:rPr>
        <w:t xml:space="preserve"> </w:t>
      </w:r>
      <w:r>
        <w:rPr>
          <w:color w:val="auto"/>
          <w:highlight w:val="none"/>
        </w:rPr>
        <w:t>od</w:t>
      </w:r>
      <w:r>
        <w:rPr>
          <w:rFonts w:hint="default"/>
          <w:color w:val="auto"/>
          <w:highlight w:val="none"/>
          <w:lang w:val="sk-SK"/>
        </w:rPr>
        <w:t xml:space="preserve"> zaslania objednávky</w:t>
      </w:r>
      <w:r>
        <w:rPr>
          <w:color w:val="auto"/>
          <w:highlight w:val="none"/>
        </w:rPr>
        <w:t>.</w:t>
      </w:r>
    </w:p>
    <w:p>
      <w:pPr>
        <w:pStyle w:val="12"/>
        <w:tabs>
          <w:tab w:val="left" w:pos="567"/>
        </w:tabs>
        <w:jc w:val="both"/>
        <w:rPr>
          <w:color w:val="auto"/>
          <w:highlight w:val="none"/>
        </w:rPr>
      </w:pPr>
    </w:p>
    <w:p>
      <w:pPr>
        <w:pStyle w:val="12"/>
        <w:jc w:val="center"/>
        <w:rPr>
          <w:b/>
          <w:color w:val="auto"/>
          <w:sz w:val="28"/>
          <w:szCs w:val="28"/>
          <w:highlight w:val="none"/>
        </w:rPr>
      </w:pPr>
      <w:r>
        <w:rPr>
          <w:b/>
          <w:color w:val="auto"/>
          <w:sz w:val="28"/>
          <w:szCs w:val="28"/>
          <w:highlight w:val="none"/>
        </w:rPr>
        <w:t>6. Fakturácia a platobné podmienky</w:t>
      </w:r>
    </w:p>
    <w:p>
      <w:pPr>
        <w:pStyle w:val="12"/>
        <w:jc w:val="center"/>
        <w:rPr>
          <w:color w:val="auto"/>
          <w:sz w:val="12"/>
          <w:szCs w:val="12"/>
          <w:highlight w:val="none"/>
        </w:rPr>
      </w:pPr>
    </w:p>
    <w:p>
      <w:pPr>
        <w:pStyle w:val="12"/>
        <w:numPr>
          <w:ilvl w:val="1"/>
          <w:numId w:val="3"/>
        </w:numPr>
        <w:autoSpaceDE/>
        <w:autoSpaceDN/>
        <w:adjustRightInd/>
        <w:jc w:val="both"/>
        <w:rPr>
          <w:color w:val="auto"/>
          <w:highlight w:val="none"/>
        </w:rPr>
      </w:pPr>
      <w:r>
        <w:rPr>
          <w:highlight w:val="none"/>
        </w:rPr>
        <w:t xml:space="preserve">Zmluvné strany sa dohodli, že preddavky sa nebudú poskytovať. </w:t>
      </w:r>
    </w:p>
    <w:p>
      <w:pPr>
        <w:pStyle w:val="12"/>
        <w:numPr>
          <w:ilvl w:val="1"/>
          <w:numId w:val="3"/>
        </w:numPr>
        <w:autoSpaceDE/>
        <w:autoSpaceDN/>
        <w:adjustRightInd/>
        <w:jc w:val="both"/>
        <w:rPr>
          <w:color w:val="auto"/>
          <w:highlight w:val="none"/>
        </w:rPr>
      </w:pPr>
      <w:r>
        <w:rPr>
          <w:highlight w:val="none"/>
        </w:rPr>
        <w:t xml:space="preserve">Platba bude realizovaná bezhotovostným spôsobom na základe faktúry vystavenej predávajúcim do 5 pracovných dní od prevzatia tovaru kupujúcim v súlade s čl. 3 zmluvy. </w:t>
      </w:r>
      <w:r>
        <w:rPr>
          <w:color w:val="auto"/>
          <w:highlight w:val="none"/>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highlight w:val="none"/>
        </w:rPr>
      </w:pPr>
      <w:r>
        <w:rPr>
          <w:color w:val="auto"/>
          <w:highlight w:val="none"/>
        </w:rPr>
        <w:t>K faktúre musí byť priložená fotokópia dodacieho listu podpísaného zástupcom kupujúceho povereným na prevzatie tovaru v súlade s</w:t>
      </w:r>
      <w:r>
        <w:rPr>
          <w:highlight w:val="none"/>
        </w:rPr>
        <w:t xml:space="preserve"> čl. 3 ods. 3.1. zmluvy.</w:t>
      </w:r>
    </w:p>
    <w:p>
      <w:pPr>
        <w:pStyle w:val="12"/>
        <w:numPr>
          <w:ilvl w:val="1"/>
          <w:numId w:val="3"/>
        </w:numPr>
        <w:autoSpaceDE/>
        <w:autoSpaceDN/>
        <w:adjustRightInd/>
        <w:jc w:val="both"/>
        <w:rPr>
          <w:color w:val="auto"/>
          <w:highlight w:val="none"/>
        </w:rPr>
      </w:pPr>
      <w:r>
        <w:rPr>
          <w:color w:val="auto"/>
          <w:highlight w:val="none"/>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highlight w:val="none"/>
        </w:rPr>
      </w:pPr>
      <w:r>
        <w:rPr>
          <w:color w:val="auto"/>
          <w:highlight w:val="none"/>
        </w:rPr>
        <w:t>Lehota splatnosti faktúry je 30 dní odo dňa jej vystavenia</w:t>
      </w:r>
      <w:r>
        <w:rPr>
          <w:highlight w:val="none"/>
        </w:rPr>
        <w:t>, pričom musí byť doručená kupujúcemu najneskôr 10 dní pred termínom jej splatnosti.</w:t>
      </w:r>
      <w:r>
        <w:rPr>
          <w:color w:val="auto"/>
          <w:highlight w:val="none"/>
        </w:rPr>
        <w:t xml:space="preserve"> Dňom úhrady faktúry je deň pripísania peňažných prostriedkov na účet predávajúceho.</w:t>
      </w:r>
    </w:p>
    <w:p>
      <w:pPr>
        <w:pStyle w:val="12"/>
        <w:numPr>
          <w:ilvl w:val="1"/>
          <w:numId w:val="3"/>
        </w:numPr>
        <w:autoSpaceDE/>
        <w:autoSpaceDN/>
        <w:adjustRightInd/>
        <w:jc w:val="both"/>
        <w:rPr>
          <w:color w:val="auto"/>
          <w:highlight w:val="none"/>
        </w:rPr>
      </w:pPr>
      <w:r>
        <w:rPr>
          <w:color w:val="auto"/>
          <w:highlight w:val="none"/>
        </w:rPr>
        <w:t xml:space="preserve">Predávajúci </w:t>
      </w:r>
      <w:r>
        <w:rPr>
          <w:highlight w:val="none"/>
        </w:rPr>
        <w:t xml:space="preserve">sa zaväzuje vystaviť faktúru v elektronickej forme a doručiť ju kupujúcemu na </w:t>
      </w:r>
      <w:r>
        <w:rPr>
          <w:rFonts w:hint="default"/>
          <w:highlight w:val="none"/>
        </w:rPr>
        <w:t>limas.sro@gmail.com</w:t>
      </w:r>
      <w:r>
        <w:rPr>
          <w:rFonts w:hint="default"/>
          <w:highlight w:val="none"/>
          <w:lang w:val="sk-SK"/>
        </w:rPr>
        <w:t>.</w:t>
      </w:r>
      <w:r>
        <w:rPr>
          <w:color w:val="auto"/>
          <w:highlight w:val="none"/>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highlight w:val="none"/>
        </w:rPr>
      </w:pPr>
      <w:r>
        <w:rPr>
          <w:highlight w:val="none"/>
        </w:rP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highlight w:val="none"/>
        </w:rPr>
        <w:t xml:space="preserve">Nová lehota splatnosti v danom prípade začne plynúť až odo dňa vystavenia opravenej faktúry. </w:t>
      </w:r>
    </w:p>
    <w:p>
      <w:pPr>
        <w:pStyle w:val="12"/>
        <w:numPr>
          <w:ilvl w:val="1"/>
          <w:numId w:val="3"/>
        </w:numPr>
        <w:autoSpaceDE/>
        <w:autoSpaceDN/>
        <w:adjustRightInd/>
        <w:jc w:val="both"/>
        <w:rPr>
          <w:color w:val="auto"/>
          <w:highlight w:val="none"/>
        </w:rPr>
      </w:pPr>
      <w:r>
        <w:rPr>
          <w:color w:val="auto"/>
          <w:highlight w:val="none"/>
        </w:rPr>
        <w:t>Kupujúci nadobúda vlastnícke právo k dodanému tovaru dňom prevzatia tovaru - podpisom dodacieho listu podľa čl. 3 ods. 3.2. zmluvy.</w:t>
      </w:r>
    </w:p>
    <w:p>
      <w:pPr>
        <w:pStyle w:val="12"/>
        <w:numPr>
          <w:ilvl w:val="0"/>
          <w:numId w:val="0"/>
        </w:numPr>
        <w:autoSpaceDE/>
        <w:autoSpaceDN/>
        <w:adjustRightInd/>
        <w:ind w:leftChars="0"/>
        <w:jc w:val="both"/>
        <w:rPr>
          <w:color w:val="auto"/>
          <w:highlight w:val="none"/>
        </w:rPr>
      </w:pPr>
    </w:p>
    <w:p>
      <w:pPr>
        <w:pStyle w:val="12"/>
        <w:autoSpaceDE/>
        <w:autoSpaceDN/>
        <w:adjustRightInd/>
        <w:ind w:left="540"/>
        <w:jc w:val="both"/>
        <w:rPr>
          <w:color w:val="auto"/>
          <w:sz w:val="6"/>
          <w:szCs w:val="6"/>
          <w:highlight w:val="none"/>
        </w:rPr>
      </w:pPr>
    </w:p>
    <w:p>
      <w:pPr>
        <w:pStyle w:val="12"/>
        <w:autoSpaceDE/>
        <w:autoSpaceDN/>
        <w:adjustRightInd/>
        <w:ind w:left="540"/>
        <w:jc w:val="both"/>
        <w:rPr>
          <w:color w:val="auto"/>
          <w:sz w:val="6"/>
          <w:szCs w:val="6"/>
          <w:highlight w:val="none"/>
        </w:rPr>
      </w:pPr>
    </w:p>
    <w:p>
      <w:pPr>
        <w:pStyle w:val="12"/>
        <w:jc w:val="center"/>
        <w:rPr>
          <w:b/>
          <w:bCs/>
          <w:color w:val="auto"/>
          <w:sz w:val="28"/>
          <w:szCs w:val="28"/>
          <w:highlight w:val="none"/>
        </w:rPr>
      </w:pPr>
      <w:r>
        <w:rPr>
          <w:b/>
          <w:bCs/>
          <w:color w:val="auto"/>
          <w:sz w:val="28"/>
          <w:szCs w:val="28"/>
          <w:highlight w:val="none"/>
        </w:rPr>
        <w:t>7. Sankcie</w:t>
      </w:r>
    </w:p>
    <w:p>
      <w:pPr>
        <w:pStyle w:val="12"/>
        <w:jc w:val="center"/>
        <w:rPr>
          <w:b/>
          <w:color w:val="auto"/>
          <w:sz w:val="12"/>
          <w:szCs w:val="12"/>
          <w:highlight w:val="none"/>
        </w:rPr>
      </w:pP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highlight w:val="none"/>
        </w:rPr>
      </w:pPr>
    </w:p>
    <w:p>
      <w:pPr>
        <w:pStyle w:val="12"/>
        <w:autoSpaceDE/>
        <w:autoSpaceDN/>
        <w:adjustRightInd/>
        <w:ind w:left="567"/>
        <w:jc w:val="both"/>
        <w:rPr>
          <w:rFonts w:hint="default"/>
          <w:color w:val="auto"/>
          <w:sz w:val="12"/>
          <w:szCs w:val="12"/>
          <w:highlight w:val="none"/>
          <w:lang w:val="sk-SK"/>
        </w:rPr>
      </w:pPr>
    </w:p>
    <w:p>
      <w:pPr>
        <w:pStyle w:val="12"/>
        <w:autoSpaceDE/>
        <w:autoSpaceDN/>
        <w:adjustRightInd/>
        <w:ind w:left="567"/>
        <w:jc w:val="both"/>
        <w:rPr>
          <w:rFonts w:hint="default"/>
          <w:color w:val="auto"/>
          <w:sz w:val="12"/>
          <w:szCs w:val="12"/>
          <w:highlight w:val="none"/>
          <w:lang w:val="sk-SK"/>
        </w:rPr>
      </w:pPr>
    </w:p>
    <w:p>
      <w:pPr>
        <w:pStyle w:val="12"/>
        <w:jc w:val="center"/>
        <w:rPr>
          <w:b/>
          <w:color w:val="auto"/>
          <w:sz w:val="28"/>
          <w:szCs w:val="28"/>
          <w:highlight w:val="none"/>
        </w:rPr>
      </w:pPr>
      <w:r>
        <w:rPr>
          <w:b/>
          <w:color w:val="auto"/>
          <w:sz w:val="28"/>
          <w:szCs w:val="28"/>
          <w:highlight w:val="none"/>
        </w:rPr>
        <w:t>8. Záručná doba a zodpovednosť za vady</w:t>
      </w:r>
    </w:p>
    <w:p>
      <w:pPr>
        <w:pStyle w:val="12"/>
        <w:jc w:val="center"/>
        <w:rPr>
          <w:color w:val="auto"/>
          <w:sz w:val="12"/>
          <w:szCs w:val="12"/>
          <w:highlight w:val="none"/>
        </w:rPr>
      </w:pP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 xml:space="preserve">Predávajúci poskytuje na tovar záručnú dobu </w:t>
      </w:r>
      <w:r>
        <w:rPr>
          <w:bCs/>
          <w:color w:val="auto"/>
          <w:highlight w:val="none"/>
        </w:rPr>
        <w:t>12 mesiacov (pokiaľ výrobca neposkytuje dlhšiu záručnú dobu)</w:t>
      </w:r>
      <w:r>
        <w:rPr>
          <w:color w:val="auto"/>
          <w:highlight w:val="none"/>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Zjavné vady, za ktoré nesie predávajúci zodpovednosť, musia byť kupujúcim bezodkladne oznámené písomne alebo e-mailom na e-mailovú adresu predávajúceho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Predávajúci je povinný vadu alebo vady odstrániť v lehote do 3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Ak je dodaním tovaru s vadami porušená zmluva podstatným spôsobom, môže kupujúci:</w:t>
      </w:r>
    </w:p>
    <w:p>
      <w:pPr>
        <w:pStyle w:val="12"/>
        <w:numPr>
          <w:ilvl w:val="0"/>
          <w:numId w:val="6"/>
        </w:numPr>
        <w:autoSpaceDE/>
        <w:autoSpaceDN/>
        <w:adjustRightInd/>
        <w:jc w:val="both"/>
        <w:rPr>
          <w:color w:val="auto"/>
          <w:highlight w:val="none"/>
        </w:rPr>
      </w:pPr>
      <w:r>
        <w:rPr>
          <w:color w:val="auto"/>
          <w:highlight w:val="none"/>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highlight w:val="none"/>
        </w:rPr>
      </w:pPr>
      <w:r>
        <w:rPr>
          <w:color w:val="auto"/>
          <w:highlight w:val="none"/>
        </w:rPr>
        <w:t xml:space="preserve">požadovať odstránenie vád opravou tovaru, ak sú vady opraviteľné, </w:t>
      </w:r>
    </w:p>
    <w:p>
      <w:pPr>
        <w:pStyle w:val="12"/>
        <w:numPr>
          <w:ilvl w:val="0"/>
          <w:numId w:val="6"/>
        </w:numPr>
        <w:autoSpaceDE/>
        <w:autoSpaceDN/>
        <w:adjustRightInd/>
        <w:jc w:val="both"/>
        <w:rPr>
          <w:color w:val="auto"/>
          <w:highlight w:val="none"/>
        </w:rPr>
      </w:pPr>
      <w:r>
        <w:rPr>
          <w:color w:val="auto"/>
          <w:highlight w:val="none"/>
        </w:rPr>
        <w:t xml:space="preserve">požadovať primeranú zľavu z kúpnej ceny, </w:t>
      </w:r>
    </w:p>
    <w:p>
      <w:pPr>
        <w:pStyle w:val="12"/>
        <w:numPr>
          <w:ilvl w:val="0"/>
          <w:numId w:val="6"/>
        </w:numPr>
        <w:autoSpaceDE/>
        <w:autoSpaceDN/>
        <w:adjustRightInd/>
        <w:jc w:val="both"/>
        <w:rPr>
          <w:color w:val="auto"/>
          <w:highlight w:val="none"/>
        </w:rPr>
      </w:pPr>
      <w:r>
        <w:rPr>
          <w:color w:val="auto"/>
          <w:highlight w:val="none"/>
        </w:rPr>
        <w:t>odstúpiť od zmluvy.</w:t>
      </w:r>
    </w:p>
    <w:p>
      <w:pPr>
        <w:pStyle w:val="12"/>
        <w:tabs>
          <w:tab w:val="left" w:pos="567"/>
        </w:tabs>
        <w:autoSpaceDE/>
        <w:autoSpaceDN/>
        <w:adjustRightInd/>
        <w:ind w:left="567"/>
        <w:jc w:val="both"/>
        <w:rPr>
          <w:color w:val="auto"/>
          <w:highlight w:val="none"/>
        </w:rPr>
      </w:pPr>
      <w:r>
        <w:rPr>
          <w:color w:val="auto"/>
          <w:highlight w:val="none"/>
        </w:rPr>
        <w:t>Voľbu vykoná kupujúci v reklamácii tovaru a túto je predávajúci povinný rešpektovať.</w:t>
      </w:r>
    </w:p>
    <w:p>
      <w:pPr>
        <w:pStyle w:val="12"/>
        <w:tabs>
          <w:tab w:val="left" w:pos="567"/>
        </w:tabs>
        <w:autoSpaceDE/>
        <w:autoSpaceDN/>
        <w:adjustRightInd/>
        <w:ind w:left="567"/>
        <w:jc w:val="both"/>
        <w:rPr>
          <w:color w:val="auto"/>
          <w:highlight w:val="none"/>
        </w:rPr>
      </w:pPr>
    </w:p>
    <w:p>
      <w:pPr>
        <w:pStyle w:val="12"/>
        <w:autoSpaceDE/>
        <w:autoSpaceDN/>
        <w:adjustRightInd/>
        <w:ind w:left="927"/>
        <w:jc w:val="both"/>
        <w:rPr>
          <w:color w:val="auto"/>
          <w:sz w:val="16"/>
          <w:szCs w:val="16"/>
          <w:highlight w:val="none"/>
        </w:rPr>
      </w:pPr>
    </w:p>
    <w:p>
      <w:pPr>
        <w:pStyle w:val="12"/>
        <w:numPr>
          <w:ilvl w:val="0"/>
          <w:numId w:val="5"/>
        </w:numPr>
        <w:autoSpaceDE/>
        <w:autoSpaceDN/>
        <w:adjustRightInd/>
        <w:jc w:val="center"/>
        <w:rPr>
          <w:b/>
          <w:color w:val="auto"/>
          <w:sz w:val="28"/>
          <w:szCs w:val="28"/>
          <w:highlight w:val="none"/>
        </w:rPr>
      </w:pPr>
      <w:r>
        <w:rPr>
          <w:b/>
          <w:color w:val="auto"/>
          <w:sz w:val="28"/>
          <w:szCs w:val="28"/>
          <w:highlight w:val="none"/>
        </w:rPr>
        <w:t>Odstúpenie od zmluvy</w:t>
      </w:r>
    </w:p>
    <w:p>
      <w:pPr>
        <w:pStyle w:val="12"/>
        <w:jc w:val="center"/>
        <w:rPr>
          <w:b/>
          <w:color w:val="auto"/>
          <w:sz w:val="16"/>
          <w:szCs w:val="1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Pre prípad odstúpenia od zmluvy sa za podstatné porušenie zmluvnej povinnosti považuje:</w:t>
      </w:r>
    </w:p>
    <w:p>
      <w:pPr>
        <w:pStyle w:val="12"/>
        <w:ind w:left="567"/>
        <w:jc w:val="both"/>
        <w:rPr>
          <w:color w:val="auto"/>
          <w:highlight w:val="none"/>
        </w:rPr>
      </w:pPr>
      <w:r>
        <w:rPr>
          <w:color w:val="auto"/>
          <w:highlight w:val="none"/>
        </w:rPr>
        <w:t>a/ zo strany kupujúceho:</w:t>
      </w:r>
    </w:p>
    <w:p>
      <w:pPr>
        <w:pStyle w:val="12"/>
        <w:numPr>
          <w:ilvl w:val="0"/>
          <w:numId w:val="6"/>
        </w:numPr>
        <w:autoSpaceDE/>
        <w:autoSpaceDN/>
        <w:adjustRightInd/>
        <w:jc w:val="both"/>
        <w:rPr>
          <w:color w:val="auto"/>
          <w:highlight w:val="none"/>
        </w:rPr>
      </w:pPr>
      <w:r>
        <w:rPr>
          <w:color w:val="auto"/>
          <w:highlight w:val="none"/>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highlight w:val="none"/>
        </w:rPr>
      </w:pPr>
      <w:r>
        <w:rPr>
          <w:color w:val="auto"/>
          <w:highlight w:val="none"/>
        </w:rPr>
        <w:t>bezdôvodné odmietnutie prevzatia riadne a včas dodaného tovaru,</w:t>
      </w:r>
    </w:p>
    <w:p>
      <w:pPr>
        <w:pStyle w:val="12"/>
        <w:ind w:left="567"/>
        <w:jc w:val="both"/>
        <w:rPr>
          <w:color w:val="auto"/>
          <w:highlight w:val="none"/>
        </w:rPr>
      </w:pPr>
      <w:r>
        <w:rPr>
          <w:color w:val="auto"/>
          <w:highlight w:val="none"/>
        </w:rPr>
        <w:t>b/ zo strany predávajúceho:</w:t>
      </w:r>
    </w:p>
    <w:p>
      <w:pPr>
        <w:pStyle w:val="12"/>
        <w:numPr>
          <w:ilvl w:val="0"/>
          <w:numId w:val="6"/>
        </w:numPr>
        <w:autoSpaceDE/>
        <w:autoSpaceDN/>
        <w:adjustRightInd/>
        <w:jc w:val="both"/>
        <w:rPr>
          <w:color w:val="auto"/>
          <w:highlight w:val="none"/>
        </w:rPr>
      </w:pPr>
      <w:r>
        <w:rPr>
          <w:color w:val="auto"/>
          <w:highlight w:val="none"/>
        </w:rPr>
        <w:t>omeškanie predávajúceho s dodaním tovaru o viac ako 2 mesiace po termíne uvedenom v článku 5 zmluvy,</w:t>
      </w:r>
    </w:p>
    <w:p>
      <w:pPr>
        <w:pStyle w:val="12"/>
        <w:numPr>
          <w:ilvl w:val="0"/>
          <w:numId w:val="6"/>
        </w:numPr>
        <w:autoSpaceDE/>
        <w:autoSpaceDN/>
        <w:adjustRightInd/>
        <w:jc w:val="both"/>
        <w:rPr>
          <w:color w:val="auto"/>
          <w:highlight w:val="none"/>
        </w:rPr>
      </w:pPr>
      <w:r>
        <w:rPr>
          <w:color w:val="auto"/>
          <w:highlight w:val="none"/>
        </w:rPr>
        <w:t>dodanie tovaru s vadami, ktoré nie sú odstrániteľné resp. opraviteľné,</w:t>
      </w:r>
    </w:p>
    <w:p>
      <w:pPr>
        <w:pStyle w:val="12"/>
        <w:numPr>
          <w:ilvl w:val="0"/>
          <w:numId w:val="6"/>
        </w:numPr>
        <w:autoSpaceDE/>
        <w:autoSpaceDN/>
        <w:adjustRightInd/>
        <w:jc w:val="both"/>
        <w:rPr>
          <w:color w:val="auto"/>
          <w:highlight w:val="none"/>
        </w:rPr>
      </w:pPr>
      <w:r>
        <w:rPr>
          <w:color w:val="auto"/>
          <w:highlight w:val="none"/>
        </w:rPr>
        <w:t>dodanie iného ako zmluvne dohodnutého tovaru,</w:t>
      </w:r>
    </w:p>
    <w:p>
      <w:pPr>
        <w:pStyle w:val="12"/>
        <w:numPr>
          <w:ilvl w:val="0"/>
          <w:numId w:val="6"/>
        </w:numPr>
        <w:autoSpaceDE/>
        <w:autoSpaceDN/>
        <w:adjustRightInd/>
        <w:jc w:val="both"/>
        <w:rPr>
          <w:color w:val="auto"/>
          <w:highlight w:val="none"/>
        </w:rPr>
      </w:pPr>
      <w:r>
        <w:rPr>
          <w:color w:val="auto"/>
          <w:highlight w:val="none"/>
        </w:rPr>
        <w:t>dodanie tovaru s právnymi vadami,</w:t>
      </w:r>
    </w:p>
    <w:p>
      <w:pPr>
        <w:pStyle w:val="12"/>
        <w:numPr>
          <w:ilvl w:val="0"/>
          <w:numId w:val="6"/>
        </w:numPr>
        <w:autoSpaceDE/>
        <w:autoSpaceDN/>
        <w:adjustRightInd/>
        <w:jc w:val="both"/>
        <w:rPr>
          <w:color w:val="auto"/>
          <w:highlight w:val="none"/>
        </w:rPr>
      </w:pPr>
      <w:r>
        <w:rPr>
          <w:color w:val="auto"/>
          <w:highlight w:val="none"/>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highlight w:val="none"/>
        </w:rPr>
      </w:pPr>
      <w:r>
        <w:rPr>
          <w:color w:val="auto"/>
          <w:highlight w:val="none"/>
        </w:rPr>
        <w:t>dodanie nekompletného tovaru.</w:t>
      </w:r>
    </w:p>
    <w:p>
      <w:pPr>
        <w:pStyle w:val="12"/>
        <w:autoSpaceDE/>
        <w:autoSpaceDN/>
        <w:adjustRightInd/>
        <w:ind w:left="927"/>
        <w:jc w:val="both"/>
        <w:rPr>
          <w:color w:val="auto"/>
          <w:sz w:val="6"/>
          <w:szCs w:val="6"/>
          <w:highlight w:val="none"/>
        </w:rPr>
      </w:pPr>
    </w:p>
    <w:p>
      <w:pPr>
        <w:pStyle w:val="12"/>
        <w:autoSpaceDE/>
        <w:autoSpaceDN/>
        <w:adjustRightInd/>
        <w:ind w:left="927"/>
        <w:jc w:val="both"/>
        <w:rPr>
          <w:color w:val="auto"/>
          <w:sz w:val="6"/>
          <w:szCs w:val="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10. Ostatné zmluvné dojednania</w:t>
      </w:r>
    </w:p>
    <w:p>
      <w:pPr>
        <w:pStyle w:val="12"/>
        <w:jc w:val="center"/>
        <w:rPr>
          <w:b/>
          <w:color w:val="auto"/>
          <w:sz w:val="12"/>
          <w:szCs w:val="12"/>
          <w:highlight w:val="none"/>
        </w:rPr>
      </w:pPr>
    </w:p>
    <w:p>
      <w:pPr>
        <w:pStyle w:val="12"/>
        <w:numPr>
          <w:ilvl w:val="1"/>
          <w:numId w:val="8"/>
        </w:numPr>
        <w:autoSpaceDE/>
        <w:autoSpaceDN/>
        <w:adjustRightInd/>
        <w:jc w:val="both"/>
        <w:rPr>
          <w:color w:val="auto"/>
          <w:highlight w:val="none"/>
        </w:rPr>
      </w:pPr>
      <w:r>
        <w:rPr>
          <w:bCs/>
          <w:highlight w:val="none"/>
        </w:rPr>
        <w:t xml:space="preserve">Vzájomné práva zmluvných strán, pokiaľ nie sú upravené v zmluve, sa riadia </w:t>
      </w:r>
      <w:r>
        <w:rPr>
          <w:bCs/>
          <w:highlight w:val="none"/>
        </w:rPr>
        <w:tab/>
      </w:r>
      <w:r>
        <w:rPr>
          <w:bCs/>
          <w:highlight w:val="none"/>
        </w:rPr>
        <w:t>príslušnými ustanoveniami zákona č. 513/1991 Zb. Obchodný zákonník v.z.n.p.</w:t>
      </w:r>
      <w:r>
        <w:rPr>
          <w:bCs/>
          <w:highlight w:val="none"/>
        </w:rPr>
        <w:tab/>
      </w:r>
      <w:r>
        <w:rPr>
          <w:bCs/>
          <w:highlight w:val="none"/>
        </w:rPr>
        <w:t xml:space="preserve">a ostatnými všeobecne záväznými právnymi predpismi platnými na území SR. Právny </w:t>
      </w:r>
      <w:r>
        <w:rPr>
          <w:bCs/>
          <w:highlight w:val="none"/>
        </w:rPr>
        <w:tab/>
      </w:r>
      <w:r>
        <w:rPr>
          <w:bCs/>
          <w:highlight w:val="none"/>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ab/>
      </w:r>
      <w:r>
        <w:rPr>
          <w:color w:val="auto"/>
          <w:highlight w:val="none"/>
        </w:rPr>
        <w:t xml:space="preserve">Zmluvné strany sa dohodli, že prípadné spory vyplývajúce zo zmluvy, rozpory vo </w:t>
      </w:r>
      <w:r>
        <w:rPr>
          <w:color w:val="auto"/>
          <w:highlight w:val="none"/>
        </w:rPr>
        <w:tab/>
      </w:r>
      <w:r>
        <w:rPr>
          <w:color w:val="auto"/>
          <w:highlight w:val="none"/>
        </w:rPr>
        <w:t xml:space="preserve">výklade niektorých jej ustanovení alebo rozpory pri uzatváraní dodatkov budú riešiť </w:t>
      </w:r>
      <w:r>
        <w:rPr>
          <w:color w:val="auto"/>
          <w:highlight w:val="none"/>
        </w:rPr>
        <w:tab/>
      </w:r>
      <w:r>
        <w:rPr>
          <w:color w:val="auto"/>
          <w:highlight w:val="none"/>
        </w:rPr>
        <w:t>predovšetkým cestou zmieru a vzájomným rokovaním.</w:t>
      </w:r>
      <w:r>
        <w:rPr>
          <w:bCs/>
          <w:highlight w:val="none"/>
        </w:rPr>
        <w:t xml:space="preserve"> Pre prípad sporov alebo </w:t>
      </w:r>
      <w:r>
        <w:rPr>
          <w:bCs/>
          <w:highlight w:val="none"/>
        </w:rPr>
        <w:tab/>
      </w:r>
      <w:r>
        <w:rPr>
          <w:bCs/>
          <w:highlight w:val="none"/>
        </w:rPr>
        <w:t xml:space="preserve">nezrovnalostí ohľadom záväzkov vyplývajúcich zo zmluvy sa stanovuje nasledovné </w:t>
      </w:r>
      <w:r>
        <w:rPr>
          <w:bCs/>
          <w:highlight w:val="none"/>
        </w:rPr>
        <w:tab/>
      </w:r>
      <w:r>
        <w:rPr>
          <w:bCs/>
          <w:highlight w:val="none"/>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Zmluva,</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sz w:val="24"/>
          <w:szCs w:val="24"/>
          <w:highlight w:val="none"/>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 xml:space="preserve">Zmluvné strany berú na vedomie, že kupujúci má v súvislosti s kúpou predmetu kúpy záujem získať na jeho financovanie (za účelom úhrady celkovej kúpnej ceny tovaru spolu podľa čl. 4 ods. 4.1. zmluvy) zdroje z Programu rozvoja vidieka SR 2014 – </w:t>
      </w:r>
      <w:r>
        <w:rPr>
          <w:color w:val="auto"/>
          <w:highlight w:val="none"/>
          <w:lang w:val="sk-SK"/>
        </w:rPr>
        <w:t>2022</w:t>
      </w:r>
      <w:r>
        <w:rPr>
          <w:color w:val="auto"/>
          <w:highlight w:val="none"/>
        </w:rPr>
        <w:t>, opatrenie: 4 – Investície do hmotného majetku, podopatrenie: 4.</w:t>
      </w:r>
      <w:r>
        <w:rPr>
          <w:rFonts w:hint="default"/>
          <w:color w:val="auto"/>
          <w:highlight w:val="none"/>
          <w:lang w:val="sk-SK"/>
        </w:rPr>
        <w:t>1</w:t>
      </w:r>
      <w:r>
        <w:rPr>
          <w:color w:val="auto"/>
          <w:highlight w:val="none"/>
        </w:rPr>
        <w:t xml:space="preserve"> – </w:t>
      </w:r>
      <w:r>
        <w:rPr>
          <w:rFonts w:hint="default"/>
          <w:color w:val="auto"/>
          <w:highlight w:val="none"/>
          <w:lang w:val="sk-SK"/>
        </w:rPr>
        <w:t>Podpora na investície do poľnohospodárskych podnikov, výzva č. 52/PRV/2022. Zmluvné strany v nadväznosti na uvedené vyhlasujú, že berú na vedomie kontrolnú právo</w:t>
      </w:r>
      <w:r>
        <w:rPr>
          <w:highlight w:val="none"/>
        </w:rPr>
        <w:t xml:space="preserve">moc orgánov verejnej moci v súvislosti s financovaním poskytovaným </w:t>
      </w:r>
      <w:r>
        <w:rPr>
          <w:color w:val="auto"/>
          <w:highlight w:val="none"/>
        </w:rPr>
        <w:t>z Programu rozvoja vidieka SR 2014 – 202</w:t>
      </w:r>
      <w:r>
        <w:rPr>
          <w:rFonts w:hint="default"/>
          <w:color w:val="auto"/>
          <w:highlight w:val="none"/>
          <w:lang w:val="sk-SK"/>
        </w:rPr>
        <w:t>2</w:t>
      </w:r>
      <w:r>
        <w:rPr>
          <w:color w:val="auto"/>
          <w:highlight w:val="none"/>
        </w:rPr>
        <w:t>, o ktoré sa kupujúci uchádza, a v nadväznosti na túto skutočnosť vyhlasujú, že obe zmluvné strany poskytnú v plnom rozsahu súčinnosť pri výkone kontroly orgánmi verejnej moci podľa príslušných právnych predpisov (o</w:t>
      </w:r>
      <w:r>
        <w:rPr>
          <w:highlight w:val="none"/>
        </w:rP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highlight w:val="none"/>
        </w:rPr>
      </w:pPr>
      <w:r>
        <w:rPr>
          <w:highlight w:val="none"/>
        </w:rPr>
        <w:t xml:space="preserve">Predávajúci vyhlasuje, že zmluva je súladná s usmernením Pôdohospodárskej platobnej agentúry č. 8/2017 k obstarávaniu tovarov, stavebných prác a služieb financovaných z PRV SR 2014 – </w:t>
      </w:r>
      <w:r>
        <w:rPr>
          <w:highlight w:val="none"/>
          <w:lang w:val="sk-SK"/>
        </w:rPr>
        <w:t>2022</w:t>
      </w:r>
      <w:r>
        <w:rPr>
          <w:highlight w:val="none"/>
        </w:rPr>
        <w:t xml:space="preserve">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pStyle w:val="12"/>
        <w:jc w:val="center"/>
        <w:rPr>
          <w:color w:val="auto"/>
          <w:sz w:val="12"/>
          <w:szCs w:val="12"/>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11. Záverečné ustanovenia</w:t>
      </w:r>
    </w:p>
    <w:p>
      <w:pPr>
        <w:pStyle w:val="12"/>
        <w:jc w:val="center"/>
        <w:rPr>
          <w:color w:val="auto"/>
          <w:sz w:val="12"/>
          <w:szCs w:val="12"/>
          <w:highlight w:val="none"/>
        </w:rPr>
      </w:pPr>
    </w:p>
    <w:p>
      <w:pPr>
        <w:pStyle w:val="12"/>
        <w:jc w:val="center"/>
        <w:rPr>
          <w:color w:val="auto"/>
          <w:sz w:val="12"/>
          <w:szCs w:val="12"/>
          <w:highlight w:val="none"/>
        </w:rPr>
      </w:pPr>
    </w:p>
    <w:p>
      <w:pPr>
        <w:pStyle w:val="12"/>
        <w:numPr>
          <w:ilvl w:val="1"/>
          <w:numId w:val="10"/>
        </w:numPr>
        <w:tabs>
          <w:tab w:val="clear" w:pos="360"/>
        </w:tabs>
        <w:autoSpaceDE/>
        <w:autoSpaceDN/>
        <w:adjustRightInd/>
        <w:ind w:left="567" w:hanging="567"/>
        <w:jc w:val="both"/>
        <w:rPr>
          <w:color w:val="auto"/>
          <w:highlight w:val="none"/>
        </w:rPr>
      </w:pPr>
      <w:r>
        <w:rPr>
          <w:bCs/>
          <w:highlight w:val="none"/>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highlight w:val="none"/>
        </w:rPr>
      </w:pPr>
      <w:r>
        <w:rPr>
          <w:highlight w:val="none"/>
        </w:rP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highlight w:val="none"/>
        </w:rPr>
      </w:pPr>
      <w:r>
        <w:rPr>
          <w:highlight w:val="none"/>
        </w:rP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highlight w:val="none"/>
        </w:rPr>
        <w:t>Adresát neznámy</w:t>
      </w:r>
      <w:r>
        <w:rPr>
          <w:highlight w:val="none"/>
        </w:rPr>
        <w:t>“ alebo „</w:t>
      </w:r>
      <w:r>
        <w:rPr>
          <w:i/>
          <w:highlight w:val="none"/>
        </w:rPr>
        <w:t>Neprevzaté v odbernej lehote</w:t>
      </w:r>
      <w:r>
        <w:rPr>
          <w:highlight w:val="none"/>
        </w:rP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highlight w:val="none"/>
        </w:rPr>
      </w:pPr>
      <w:r>
        <w:rPr>
          <w:highlight w:val="none"/>
        </w:rP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Zmluvné strany potvrdzujú, že si zmluvu prečítali, s jej obsahom súhlasia, nakoľko je prejavom ich slobodnej a vážnej vôle zbavenej akýchkoľvek omylov, na znak čoho ju aj vlastnoručne podpísali.</w:t>
      </w:r>
      <w:r>
        <w:rPr>
          <w:color w:val="auto"/>
          <w:highlight w:val="none"/>
        </w:rPr>
        <w:tab/>
      </w:r>
      <w:r>
        <w:rPr>
          <w:color w:val="auto"/>
          <w:highlight w:val="none"/>
        </w:rPr>
        <w:tab/>
      </w:r>
    </w:p>
    <w:p>
      <w:pPr>
        <w:pStyle w:val="12"/>
        <w:ind w:left="360"/>
        <w:rPr>
          <w:color w:val="auto"/>
          <w:highlight w:val="none"/>
        </w:rPr>
      </w:pPr>
    </w:p>
    <w:p>
      <w:pPr>
        <w:pStyle w:val="12"/>
        <w:ind w:left="360"/>
        <w:rPr>
          <w:color w:val="auto"/>
          <w:highlight w:val="none"/>
        </w:rPr>
      </w:pPr>
      <w:r>
        <w:rPr>
          <w:color w:val="auto"/>
          <w:highlight w:val="none"/>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left="360" w:firstLine="360" w:firstLineChars="15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rPr>
          <w:rFonts w:hint="default"/>
          <w:color w:val="auto"/>
          <w:highlight w:val="none"/>
          <w:lang w:val="sk-SK"/>
        </w:rPr>
      </w:pPr>
      <w:r>
        <w:rPr>
          <w:color w:val="auto"/>
          <w:highlight w:val="none"/>
        </w:rPr>
        <w:tab/>
      </w:r>
      <w:r>
        <w:rPr>
          <w:color w:val="auto"/>
          <w:highlight w:val="none"/>
        </w:rPr>
        <w:t>V............................ dňa: ............202</w:t>
      </w:r>
      <w:r>
        <w:rPr>
          <w:rFonts w:hint="default"/>
          <w:color w:val="auto"/>
          <w:highlight w:val="none"/>
          <w:lang w:val="sk-SK"/>
        </w:rPr>
        <w:t>4</w:t>
      </w:r>
      <w:r>
        <w:rPr>
          <w:color w:val="auto"/>
          <w:highlight w:val="none"/>
        </w:rPr>
        <w:tab/>
      </w:r>
      <w:r>
        <w:rPr>
          <w:color w:val="auto"/>
          <w:highlight w:val="none"/>
        </w:rPr>
        <w:t>V ......................... dňa .................... 202</w:t>
      </w:r>
      <w:r>
        <w:rPr>
          <w:rFonts w:hint="default"/>
          <w:color w:val="auto"/>
          <w:highlight w:val="none"/>
          <w:lang w:val="sk-SK"/>
        </w:rPr>
        <w:t>4</w:t>
      </w:r>
    </w:p>
    <w:p>
      <w:pPr>
        <w:pStyle w:val="12"/>
        <w:rPr>
          <w:color w:val="auto"/>
          <w:highlight w:val="none"/>
        </w:rPr>
      </w:pPr>
    </w:p>
    <w:p>
      <w:pPr>
        <w:pStyle w:val="12"/>
        <w:rPr>
          <w:color w:val="auto"/>
          <w:highlight w:val="none"/>
        </w:rPr>
      </w:pPr>
      <w:r>
        <w:rPr>
          <w:color w:val="auto"/>
          <w:highlight w:val="none"/>
        </w:rPr>
        <w:tab/>
      </w:r>
      <w:r>
        <w:rPr>
          <w:color w:val="auto"/>
          <w:highlight w:val="none"/>
        </w:rPr>
        <w:t>Za predávajúceho:</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Za kupujúceho:</w:t>
      </w:r>
    </w:p>
    <w:p>
      <w:pPr>
        <w:pStyle w:val="12"/>
        <w:rPr>
          <w:b/>
          <w:color w:val="auto"/>
          <w:highlight w:val="none"/>
        </w:rPr>
      </w:pP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Limas s.r.o.</w:t>
      </w:r>
    </w:p>
    <w:p>
      <w:pPr>
        <w:pStyle w:val="12"/>
        <w:rPr>
          <w:b/>
          <w:color w:val="auto"/>
          <w:highlight w:val="none"/>
        </w:rPr>
      </w:pPr>
    </w:p>
    <w:p>
      <w:pPr>
        <w:pStyle w:val="12"/>
        <w:rPr>
          <w:color w:val="auto"/>
          <w:highlight w:val="none"/>
        </w:rPr>
      </w:pPr>
    </w:p>
    <w:p>
      <w:pPr>
        <w:pStyle w:val="12"/>
        <w:rPr>
          <w:color w:val="auto"/>
          <w:highlight w:val="none"/>
        </w:rPr>
      </w:pPr>
    </w:p>
    <w:p>
      <w:pPr>
        <w:pStyle w:val="12"/>
        <w:rPr>
          <w:color w:val="auto"/>
          <w:highlight w:val="none"/>
        </w:rPr>
      </w:pPr>
      <w:r>
        <w:rPr>
          <w:color w:val="auto"/>
          <w:highlight w:val="none"/>
        </w:rPr>
        <w:tab/>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Stanislav Lihocký</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konateľ spoločnosti</w:t>
      </w:r>
    </w:p>
    <w:p>
      <w:pPr>
        <w:pStyle w:val="12"/>
        <w:rPr>
          <w:color w:val="auto"/>
          <w:highlight w:val="none"/>
        </w:rPr>
      </w:pPr>
      <w:r>
        <w:rPr>
          <w:color w:val="auto"/>
          <w:highlight w:val="none"/>
        </w:rPr>
        <w:t> </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BB"/>
    <w:rsid w:val="00006C0B"/>
    <w:rsid w:val="00011DE4"/>
    <w:rsid w:val="00041B1C"/>
    <w:rsid w:val="00082E2E"/>
    <w:rsid w:val="000B0D62"/>
    <w:rsid w:val="000C38F5"/>
    <w:rsid w:val="000F6069"/>
    <w:rsid w:val="0013218E"/>
    <w:rsid w:val="00157F4C"/>
    <w:rsid w:val="00186FFD"/>
    <w:rsid w:val="00196A1E"/>
    <w:rsid w:val="00230D10"/>
    <w:rsid w:val="00242D57"/>
    <w:rsid w:val="00254EA6"/>
    <w:rsid w:val="00256712"/>
    <w:rsid w:val="002C74F6"/>
    <w:rsid w:val="002D4C12"/>
    <w:rsid w:val="00382521"/>
    <w:rsid w:val="003837D0"/>
    <w:rsid w:val="003B02C8"/>
    <w:rsid w:val="003C451D"/>
    <w:rsid w:val="003C74FF"/>
    <w:rsid w:val="003F64EF"/>
    <w:rsid w:val="004071A7"/>
    <w:rsid w:val="00415C52"/>
    <w:rsid w:val="00437DF3"/>
    <w:rsid w:val="00463EEA"/>
    <w:rsid w:val="004749D9"/>
    <w:rsid w:val="00494BE4"/>
    <w:rsid w:val="004A2F11"/>
    <w:rsid w:val="004A68BB"/>
    <w:rsid w:val="004A70DB"/>
    <w:rsid w:val="004B3510"/>
    <w:rsid w:val="004D12CC"/>
    <w:rsid w:val="004D2B97"/>
    <w:rsid w:val="00542991"/>
    <w:rsid w:val="0056213D"/>
    <w:rsid w:val="00572F79"/>
    <w:rsid w:val="00586823"/>
    <w:rsid w:val="005F48DF"/>
    <w:rsid w:val="0060770E"/>
    <w:rsid w:val="0061552E"/>
    <w:rsid w:val="00616E5C"/>
    <w:rsid w:val="0062436A"/>
    <w:rsid w:val="0062632F"/>
    <w:rsid w:val="00675AE9"/>
    <w:rsid w:val="00692069"/>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D48AA"/>
    <w:rsid w:val="009F1907"/>
    <w:rsid w:val="00A302AA"/>
    <w:rsid w:val="00A80B54"/>
    <w:rsid w:val="00A85719"/>
    <w:rsid w:val="00A86C26"/>
    <w:rsid w:val="00AA4E27"/>
    <w:rsid w:val="00AC6A7C"/>
    <w:rsid w:val="00AE4C4A"/>
    <w:rsid w:val="00B16365"/>
    <w:rsid w:val="00B2687D"/>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92A32"/>
    <w:rsid w:val="00DC1518"/>
    <w:rsid w:val="00DD2815"/>
    <w:rsid w:val="00E12388"/>
    <w:rsid w:val="00E31298"/>
    <w:rsid w:val="00E42604"/>
    <w:rsid w:val="00E95031"/>
    <w:rsid w:val="00EA7AA4"/>
    <w:rsid w:val="00F059D3"/>
    <w:rsid w:val="00F36004"/>
    <w:rsid w:val="00F47E93"/>
    <w:rsid w:val="00F52D5D"/>
    <w:rsid w:val="00F54426"/>
    <w:rsid w:val="00F76961"/>
    <w:rsid w:val="00F81B4A"/>
    <w:rsid w:val="00F916DC"/>
    <w:rsid w:val="00FA3844"/>
    <w:rsid w:val="00FA423D"/>
    <w:rsid w:val="00FD3D6D"/>
    <w:rsid w:val="00FF4119"/>
    <w:rsid w:val="037D3923"/>
    <w:rsid w:val="0785480E"/>
    <w:rsid w:val="56C55D95"/>
    <w:rsid w:val="634F29C2"/>
    <w:rsid w:val="748C1160"/>
    <w:rsid w:val="79160F6C"/>
    <w:rsid w:val="7F52305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077-54BE-49FC-A5E3-8957607BDD66}">
  <ds:schemaRefs/>
</ds:datastoreItem>
</file>

<file path=docProps/app.xml><?xml version="1.0" encoding="utf-8"?>
<Properties xmlns="http://schemas.openxmlformats.org/officeDocument/2006/extended-properties" xmlns:vt="http://schemas.openxmlformats.org/officeDocument/2006/docPropsVTypes">
  <Template>Normal</Template>
  <Pages>7</Pages>
  <Words>2768</Words>
  <Characters>15778</Characters>
  <Lines>131</Lines>
  <Paragraphs>37</Paragraphs>
  <TotalTime>11</TotalTime>
  <ScaleCrop>false</ScaleCrop>
  <LinksUpToDate>false</LinksUpToDate>
  <CharactersWithSpaces>18509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2022-11-24T15:20:00Z</dcterms:created>
  <dc:creator>Misko</dc:creator>
  <cp:lastModifiedBy>google1561374093</cp:lastModifiedBy>
  <cp:lastPrinted>2022-03-23T06:10:00Z</cp:lastPrinted>
  <dcterms:modified xsi:type="dcterms:W3CDTF">2024-03-20T22:07:26Z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