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Pr="009E7AD9" w:rsidRDefault="00590007" w:rsidP="0010438C">
      <w:pPr>
        <w:spacing w:after="0" w:line="240" w:lineRule="auto"/>
        <w:contextualSpacing/>
        <w:rPr>
          <w:sz w:val="10"/>
          <w:szCs w:val="10"/>
        </w:rPr>
      </w:pPr>
    </w:p>
    <w:p w14:paraId="27C75EAA" w14:textId="257BAC42" w:rsidR="00590007" w:rsidRDefault="00590007" w:rsidP="0010438C">
      <w:pPr>
        <w:tabs>
          <w:tab w:val="left" w:pos="1935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10438C">
      <w:pPr>
        <w:spacing w:after="0" w:line="240" w:lineRule="auto"/>
        <w:contextualSpacing/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10438C">
      <w:pPr>
        <w:tabs>
          <w:tab w:val="left" w:pos="1935"/>
        </w:tabs>
        <w:spacing w:after="0" w:line="240" w:lineRule="auto"/>
        <w:contextualSpacing/>
        <w:jc w:val="center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2F1CE7" w:rsidRDefault="00590007" w:rsidP="0010438C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F1CE7">
        <w:rPr>
          <w:rFonts w:asciiTheme="minorHAnsi" w:hAnsiTheme="minorHAnsi" w:cstheme="minorHAnsi"/>
          <w:sz w:val="22"/>
          <w:szCs w:val="22"/>
        </w:rPr>
        <w:t>Základné údaje</w:t>
      </w:r>
      <w:r w:rsidR="00C55E13" w:rsidRPr="002F1CE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F1CE7" w:rsidRPr="004D4374" w14:paraId="4C827180" w14:textId="77777777" w:rsidTr="00AD06A7">
        <w:trPr>
          <w:trHeight w:val="304"/>
        </w:trPr>
        <w:tc>
          <w:tcPr>
            <w:tcW w:w="4463" w:type="dxa"/>
          </w:tcPr>
          <w:p w14:paraId="2C1748F2" w14:textId="77777777" w:rsidR="002F1CE7" w:rsidRPr="0010438C" w:rsidRDefault="002F1CE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7BF6E958" w:rsidR="002F1CE7" w:rsidRPr="0010438C" w:rsidRDefault="002A26FD" w:rsidP="004D4374">
            <w:pPr>
              <w:contextualSpacing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b/>
                <w:sz w:val="20"/>
                <w:szCs w:val="20"/>
              </w:rPr>
              <w:t xml:space="preserve">ALTHAN, </w:t>
            </w:r>
            <w:proofErr w:type="spellStart"/>
            <w:r w:rsidRPr="0010438C">
              <w:rPr>
                <w:b/>
                <w:sz w:val="20"/>
                <w:szCs w:val="20"/>
              </w:rPr>
              <w:t>s.r.o</w:t>
            </w:r>
            <w:proofErr w:type="spellEnd"/>
            <w:r w:rsidRPr="0010438C">
              <w:rPr>
                <w:b/>
                <w:sz w:val="20"/>
                <w:szCs w:val="20"/>
              </w:rPr>
              <w:t>.</w:t>
            </w:r>
          </w:p>
        </w:tc>
      </w:tr>
      <w:tr w:rsidR="002F1CE7" w:rsidRPr="004D4374" w14:paraId="16423D85" w14:textId="77777777" w:rsidTr="00AD06A7">
        <w:trPr>
          <w:trHeight w:val="292"/>
        </w:trPr>
        <w:tc>
          <w:tcPr>
            <w:tcW w:w="4463" w:type="dxa"/>
          </w:tcPr>
          <w:p w14:paraId="43491EB5" w14:textId="77777777" w:rsidR="002F1CE7" w:rsidRPr="0010438C" w:rsidRDefault="002F1CE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7811CFDE" w:rsidR="002F1CE7" w:rsidRPr="0010438C" w:rsidRDefault="00CB19CB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Chemlonská</w:t>
            </w:r>
            <w:proofErr w:type="spellEnd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1, Humenné 066 01</w:t>
            </w:r>
          </w:p>
        </w:tc>
      </w:tr>
      <w:tr w:rsidR="002F1CE7" w:rsidRPr="004D4374" w14:paraId="45C145DA" w14:textId="77777777" w:rsidTr="00AD06A7">
        <w:trPr>
          <w:trHeight w:val="304"/>
        </w:trPr>
        <w:tc>
          <w:tcPr>
            <w:tcW w:w="4463" w:type="dxa"/>
          </w:tcPr>
          <w:p w14:paraId="063EC7A6" w14:textId="77777777" w:rsidR="002F1CE7" w:rsidRPr="0010438C" w:rsidRDefault="002F1CE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9F8F5B2" w:rsidR="002F1CE7" w:rsidRPr="0010438C" w:rsidRDefault="00CB19CB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Ing. Richard </w:t>
            </w:r>
            <w:proofErr w:type="spellStart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Gavaľa</w:t>
            </w:r>
            <w:proofErr w:type="spellEnd"/>
          </w:p>
        </w:tc>
      </w:tr>
      <w:tr w:rsidR="002F1CE7" w:rsidRPr="004D4374" w14:paraId="429DCCDE" w14:textId="77777777" w:rsidTr="00AD06A7">
        <w:trPr>
          <w:trHeight w:val="292"/>
        </w:trPr>
        <w:tc>
          <w:tcPr>
            <w:tcW w:w="4463" w:type="dxa"/>
          </w:tcPr>
          <w:p w14:paraId="22A1A10D" w14:textId="77777777" w:rsidR="002F1CE7" w:rsidRPr="0010438C" w:rsidRDefault="002F1CE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90F16D8" w:rsidR="002F1CE7" w:rsidRPr="0010438C" w:rsidRDefault="002D6674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44</w:t>
            </w:r>
            <w:r w:rsidR="00AD06A7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352</w:t>
            </w:r>
            <w:r w:rsidR="00AD06A7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492</w:t>
            </w:r>
          </w:p>
        </w:tc>
      </w:tr>
      <w:tr w:rsidR="002F1CE7" w:rsidRPr="004D4374" w14:paraId="6CF8E295" w14:textId="77777777" w:rsidTr="00AD06A7">
        <w:trPr>
          <w:trHeight w:val="304"/>
        </w:trPr>
        <w:tc>
          <w:tcPr>
            <w:tcW w:w="4463" w:type="dxa"/>
          </w:tcPr>
          <w:p w14:paraId="3AC93F95" w14:textId="77777777" w:rsidR="002F1CE7" w:rsidRPr="0010438C" w:rsidRDefault="002F1CE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102BF5B" w:rsidR="002F1CE7" w:rsidRPr="0010438C" w:rsidRDefault="00471C48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2022682277</w:t>
            </w:r>
          </w:p>
        </w:tc>
      </w:tr>
      <w:tr w:rsidR="002F1CE7" w:rsidRPr="004D4374" w14:paraId="49BAAC5D" w14:textId="77777777" w:rsidTr="00AD06A7">
        <w:trPr>
          <w:trHeight w:val="292"/>
        </w:trPr>
        <w:tc>
          <w:tcPr>
            <w:tcW w:w="4463" w:type="dxa"/>
          </w:tcPr>
          <w:p w14:paraId="231955D5" w14:textId="77777777" w:rsidR="002F1CE7" w:rsidRPr="0010438C" w:rsidRDefault="002F1CE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4D0D08E6" w:rsidR="002F1CE7" w:rsidRPr="0010438C" w:rsidRDefault="00B50546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Ing. Richard </w:t>
            </w:r>
            <w:proofErr w:type="spellStart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Gavaľa</w:t>
            </w:r>
            <w:proofErr w:type="spellEnd"/>
            <w:r w:rsidR="00AD06A7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– konateľ </w:t>
            </w:r>
          </w:p>
        </w:tc>
      </w:tr>
      <w:tr w:rsidR="00590007" w:rsidRPr="004D4374" w14:paraId="21140F4B" w14:textId="77777777" w:rsidTr="00AD06A7">
        <w:trPr>
          <w:trHeight w:val="304"/>
        </w:trPr>
        <w:tc>
          <w:tcPr>
            <w:tcW w:w="4463" w:type="dxa"/>
          </w:tcPr>
          <w:p w14:paraId="197358F5" w14:textId="7871B414" w:rsidR="00590007" w:rsidRPr="0010438C" w:rsidRDefault="0059000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 xml:space="preserve">Názov projektu a kód </w:t>
            </w:r>
            <w:proofErr w:type="spellStart"/>
            <w:r w:rsidRPr="0010438C">
              <w:rPr>
                <w:rFonts w:cs="Times New Roman"/>
                <w:b/>
                <w:sz w:val="20"/>
                <w:szCs w:val="20"/>
              </w:rPr>
              <w:t>ŽoNFP</w:t>
            </w:r>
            <w:proofErr w:type="spellEnd"/>
            <w:r w:rsidR="00746CDA" w:rsidRPr="0010438C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5F596CA3" w14:textId="77777777" w:rsidR="00745BE2" w:rsidRPr="0010438C" w:rsidRDefault="00745BE2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Inovácia výrobného procesu v spoločnosti ALTHAN, </w:t>
            </w:r>
            <w:proofErr w:type="spellStart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  <w:p w14:paraId="79287B6D" w14:textId="438FEAD6" w:rsidR="00590007" w:rsidRPr="0010438C" w:rsidRDefault="002F1CE7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Kód </w:t>
            </w:r>
            <w:proofErr w:type="spellStart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ŽoNFP</w:t>
            </w:r>
            <w:proofErr w:type="spellEnd"/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:</w:t>
            </w:r>
            <w:r w:rsidR="002A006D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C439B9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042PO510060</w:t>
            </w:r>
          </w:p>
        </w:tc>
      </w:tr>
      <w:tr w:rsidR="00590007" w:rsidRPr="004D4374" w14:paraId="6C4AC1E1" w14:textId="77777777" w:rsidTr="00AD06A7">
        <w:trPr>
          <w:trHeight w:val="504"/>
        </w:trPr>
        <w:tc>
          <w:tcPr>
            <w:tcW w:w="4463" w:type="dxa"/>
          </w:tcPr>
          <w:p w14:paraId="199B6C1E" w14:textId="77777777" w:rsidR="00590007" w:rsidRPr="0010438C" w:rsidRDefault="0059000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CB3C5DC" w14:textId="5F00F51F" w:rsidR="00BB1242" w:rsidRPr="0010438C" w:rsidRDefault="002F1CE7" w:rsidP="004D4374">
            <w:pPr>
              <w:contextualSpacing/>
              <w:rPr>
                <w:sz w:val="20"/>
                <w:szCs w:val="20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Komunikácia bude prebiehať len prostredníctvom elektronického systému JOSPHINE</w:t>
            </w:r>
            <w:r w:rsidR="00E55FE5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="00185EE0" w:rsidRPr="0010438C">
              <w:rPr>
                <w:sz w:val="20"/>
                <w:szCs w:val="20"/>
              </w:rPr>
              <w:t>ID: 54558</w:t>
            </w:r>
          </w:p>
          <w:p w14:paraId="7A8F7364" w14:textId="51FD4641" w:rsidR="00E55FE5" w:rsidRPr="0010438C" w:rsidRDefault="00E55FE5" w:rsidP="004D4374">
            <w:pPr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https://josephine.proebiz.com/sk/tender/54558/summary</w:t>
            </w:r>
          </w:p>
        </w:tc>
      </w:tr>
      <w:tr w:rsidR="00590007" w:rsidRPr="004D4374" w14:paraId="0B37B28F" w14:textId="77777777" w:rsidTr="00AD06A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10438C" w:rsidRDefault="0059000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F514102" w14:textId="596BB9FB" w:rsidR="00590007" w:rsidRPr="0010438C" w:rsidRDefault="00C01102" w:rsidP="004D4374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Prijímateľ/obstarávateľ nespĺňa definíciu podľa § 8 ods. 1 písm. a) alebo b) zákona č. 343/2015 Z. z. o verejnom obstarávaní a o zmene a doplnení niektorých zákonov v znení neskorších predpisov.  </w:t>
            </w:r>
          </w:p>
        </w:tc>
      </w:tr>
      <w:tr w:rsidR="00590007" w:rsidRPr="004D4374" w14:paraId="2EE5378E" w14:textId="77777777" w:rsidTr="00AD06A7">
        <w:trPr>
          <w:trHeight w:val="1200"/>
        </w:trPr>
        <w:tc>
          <w:tcPr>
            <w:tcW w:w="4463" w:type="dxa"/>
            <w:shd w:val="clear" w:color="auto" w:fill="auto"/>
          </w:tcPr>
          <w:p w14:paraId="72C9E0B4" w14:textId="77777777" w:rsidR="00590007" w:rsidRPr="0010438C" w:rsidRDefault="00590007" w:rsidP="0010438C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10438C">
              <w:rPr>
                <w:rFonts w:cs="Times New Roman"/>
                <w:b/>
                <w:sz w:val="20"/>
                <w:szCs w:val="20"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1CEDBB7" w14:textId="42C8A0D8" w:rsidR="00262C49" w:rsidRPr="0010438C" w:rsidRDefault="00262C49" w:rsidP="004D4374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obstarávania </w:t>
            </w:r>
            <w:r w:rsidR="006D5E1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je dodávka 4 kusov nákladných vozidiel na prevoz mäsa a mäsových výrobkov</w:t>
            </w: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  <w:r w:rsidR="00185EE0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Podrobné vymedzenie predmetu zákazky je uvedené</w:t>
            </w:r>
            <w:r w:rsidR="00CE148A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v prílohe č. 2 – Opis predmetu</w:t>
            </w: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Predmetné podklady sú pre všetkých uchádzačov záväzné a nemenné a musia z nich vychádzať pri tvorbe svojej ponuky.</w:t>
            </w:r>
          </w:p>
          <w:p w14:paraId="61E0137C" w14:textId="07CFECED" w:rsidR="00590007" w:rsidRPr="0010438C" w:rsidRDefault="00893595" w:rsidP="004D4374">
            <w:pPr>
              <w:contextualSpacing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CPV kódy:</w:t>
            </w:r>
          </w:p>
          <w:p w14:paraId="47752082" w14:textId="503F9F44" w:rsidR="00BF0188" w:rsidRPr="0010438C" w:rsidRDefault="00370872" w:rsidP="004D4374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34136000-9 Dodávkové automobily</w:t>
            </w:r>
            <w:r w:rsidR="00CC4F77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</w:p>
          <w:p w14:paraId="4F315683" w14:textId="1F6D1583" w:rsidR="00262C49" w:rsidRPr="0010438C" w:rsidRDefault="00A4340F" w:rsidP="004D4374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</w:t>
            </w:r>
            <w:r w:rsidR="00365191" w:rsidRPr="001043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dodania</w:t>
            </w:r>
            <w:r w:rsidR="00185EE0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: </w:t>
            </w:r>
            <w:r w:rsidR="00262C49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do </w:t>
            </w:r>
            <w:r w:rsidR="0016266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  <w:r w:rsidR="00262C49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16266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mesiacov od </w:t>
            </w:r>
            <w:r w:rsidR="00365191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nadobudnutia </w:t>
            </w:r>
            <w:r w:rsidR="0016266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účinnosti kúpnej zmluvy</w:t>
            </w:r>
            <w:r w:rsidR="00262C49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  <w:p w14:paraId="45BE418A" w14:textId="3149DB31" w:rsidR="00A4340F" w:rsidRPr="0010438C" w:rsidRDefault="00A4340F" w:rsidP="004D4374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043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Miesto </w:t>
            </w:r>
            <w:r w:rsidR="00365191" w:rsidRPr="001043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dodania</w:t>
            </w:r>
            <w:r w:rsidR="00185EE0" w:rsidRPr="001043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: </w:t>
            </w:r>
            <w:r w:rsidR="00C70FE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ALTHAN </w:t>
            </w:r>
            <w:proofErr w:type="spellStart"/>
            <w:r w:rsidR="00C70FE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="00C70FE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="00C70FE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Chemlonská</w:t>
            </w:r>
            <w:proofErr w:type="spellEnd"/>
            <w:r w:rsidR="00C70FEC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1, Humenné 066 01</w:t>
            </w:r>
            <w:r w:rsidR="00262C49" w:rsidRPr="001043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</w:tbl>
    <w:p w14:paraId="0A9F2E1D" w14:textId="77777777" w:rsidR="004D4374" w:rsidRDefault="004D4374" w:rsidP="0010438C">
      <w:pPr>
        <w:pStyle w:val="Zkladntext2"/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280AE7" w14:textId="5500613C" w:rsidR="00590007" w:rsidRPr="00C01102" w:rsidRDefault="00590007" w:rsidP="0010438C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1102">
        <w:rPr>
          <w:rFonts w:asciiTheme="minorHAnsi" w:hAnsiTheme="minorHAnsi" w:cstheme="minorHAnsi"/>
          <w:sz w:val="22"/>
          <w:szCs w:val="22"/>
        </w:rPr>
        <w:t>Názov zákazky</w:t>
      </w:r>
      <w:r w:rsidR="00C55E13" w:rsidRPr="00C0110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2127"/>
        <w:gridCol w:w="2404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10438C">
            <w:pPr>
              <w:contextualSpacing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2"/>
          </w:tcPr>
          <w:p w14:paraId="45ADB2A0" w14:textId="7EDF94B4" w:rsidR="00590007" w:rsidRPr="00590007" w:rsidRDefault="00AA33CE" w:rsidP="0010438C">
            <w:pPr>
              <w:contextualSpacing/>
              <w:jc w:val="both"/>
              <w:rPr>
                <w:rFonts w:cs="Times New Roman"/>
                <w:b/>
              </w:rPr>
            </w:pPr>
            <w:r w:rsidRPr="00AA33C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Nákladné vozidlo na prevoz mäsa a mäsových výrobkov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10438C">
            <w:pPr>
              <w:contextualSpacing/>
              <w:rPr>
                <w:rFonts w:cs="Times New Roman"/>
                <w:b/>
              </w:rPr>
            </w:pPr>
            <w:r w:rsidRPr="00262C49">
              <w:rPr>
                <w:rFonts w:cs="Times New Roman"/>
                <w:b/>
                <w:strike/>
              </w:rPr>
              <w:t>Rozdelenie</w:t>
            </w:r>
            <w:r w:rsidRPr="00590007">
              <w:rPr>
                <w:rFonts w:cs="Times New Roman"/>
                <w:b/>
              </w:rPr>
              <w:t>/</w:t>
            </w:r>
            <w:r w:rsidRPr="00262C49">
              <w:rPr>
                <w:rFonts w:cs="Times New Roman"/>
                <w:b/>
              </w:rPr>
              <w:t>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2"/>
          </w:tcPr>
          <w:p w14:paraId="3F27A864" w14:textId="5CEBFF41" w:rsidR="00590007" w:rsidRPr="00A4340F" w:rsidRDefault="00262C49" w:rsidP="0010438C">
            <w:pPr>
              <w:contextualSpacing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Dôvodom nerozdelenia zákazky na viacero samostatných celkov je skutočnosť, že predmet zákazky </w:t>
            </w:r>
            <w:r w:rsidR="001E4F66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tvorí jeden celok</w:t>
            </w:r>
            <w:r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 Nerozdelenie zákazky do samostatných celkov nespôsobí obmedzenie riadnej hospodárskej súťaž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</w:t>
            </w:r>
            <w:r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Na trhu existuje dostatok subjektov ponúkajúcich tento predmet zákazky.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V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prípade rozdelenia predmetu zákazky na časti by dochádzalo k neprimerane vysokým 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lastRenderedPageBreak/>
              <w:t>nárokom na koordinác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iu viacerých dodávateľov. N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erozdelením predmetu zákazky na časti sa znižuje riziko časových prieťahov, finančných a personálnych nákladov a dochádza k zabezpečeniu princípu efektívnosti a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 </w:t>
            </w:r>
            <w:r w:rsidR="00B04C22" w:rsidRP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hospodárnosti</w:t>
            </w:r>
            <w:r w:rsidR="00B04C2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</w:tc>
      </w:tr>
      <w:tr w:rsidR="00590007" w:rsidRPr="00590007" w14:paraId="51941B2C" w14:textId="77777777" w:rsidTr="00297F8C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10438C">
            <w:pPr>
              <w:contextualSpacing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lastRenderedPageBreak/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10438C">
            <w:pPr>
              <w:contextualSpacing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10438C">
            <w:pPr>
              <w:contextualSpacing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5F8ED0E5" w:rsidR="00590007" w:rsidRPr="00590007" w:rsidRDefault="00590007" w:rsidP="0010438C">
            <w:pPr>
              <w:contextualSpacing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PHZ bez DPH</w:t>
            </w:r>
            <w:r w:rsidR="005379F2">
              <w:rPr>
                <w:rFonts w:cs="Times New Roman"/>
                <w:b/>
              </w:rPr>
              <w:t xml:space="preserve">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10438C">
            <w:pPr>
              <w:contextualSpacing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AD6B1C" w:rsidRPr="00590007" w14:paraId="604AF1CE" w14:textId="77777777" w:rsidTr="0010438C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AD6B1C" w:rsidRPr="00590007" w:rsidRDefault="00AD6B1C" w:rsidP="0010438C">
            <w:pPr>
              <w:contextualSpacing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DEFE" w14:textId="61C83682" w:rsidR="00AD6B1C" w:rsidRPr="005379F2" w:rsidRDefault="00AA33CE" w:rsidP="0010438C">
            <w:pPr>
              <w:contextualSpacing/>
              <w:rPr>
                <w:rFonts w:cs="Times New Roman"/>
                <w:bCs/>
              </w:rPr>
            </w:pPr>
            <w:r w:rsidRPr="00AA33C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Nákladné vozidlo na prevoz mäsa a mäsových výrobkov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8DFF10B" w:rsidR="00AD6B1C" w:rsidRPr="005379F2" w:rsidRDefault="00516305" w:rsidP="0010438C">
            <w:pPr>
              <w:contextualSpacing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52E5" w14:textId="7F0D2F7A" w:rsidR="00AD6B1C" w:rsidRPr="005379F2" w:rsidRDefault="00131921" w:rsidP="0010438C">
            <w:pPr>
              <w:contextualSpacing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349 265,-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B68" w14:textId="015FC72D" w:rsidR="00AD6B1C" w:rsidRPr="005379F2" w:rsidRDefault="00AD6B1C" w:rsidP="0010438C">
            <w:pPr>
              <w:contextualSpacing/>
              <w:rPr>
                <w:rFonts w:cs="Times New Roman"/>
                <w:bCs/>
              </w:rPr>
            </w:pPr>
            <w:r w:rsidRPr="005379F2">
              <w:rPr>
                <w:rFonts w:cs="Times New Roman"/>
                <w:bCs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Podľa prílohy č. 2</w:t>
            </w:r>
            <w:r w:rsidR="0051630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– Opis predmetu zákazky</w:t>
            </w:r>
            <w:r w:rsidR="00262C4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Súťažných podkladov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262C49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10438C">
            <w:pPr>
              <w:contextualSpacing/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99EDF9E" w:rsidR="00590007" w:rsidRPr="00BE1C71" w:rsidRDefault="00BE1C71" w:rsidP="0010438C">
            <w:pPr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</w:pPr>
            <w:r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 xml:space="preserve">do </w:t>
            </w:r>
            <w:r w:rsidR="00816B1E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10</w:t>
            </w:r>
            <w:r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.</w:t>
            </w:r>
            <w:r w:rsidR="00B25D30"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0</w:t>
            </w:r>
            <w:r w:rsidR="006939A7"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4</w:t>
            </w:r>
            <w:r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.202</w:t>
            </w:r>
            <w:r w:rsidR="00B25D30"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4</w:t>
            </w:r>
            <w:r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 xml:space="preserve"> do </w:t>
            </w:r>
            <w:r w:rsidR="006939A7"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15</w:t>
            </w:r>
            <w:r w:rsidRPr="00131921"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  <w:t>:00 hod.</w:t>
            </w:r>
          </w:p>
        </w:tc>
      </w:tr>
      <w:tr w:rsidR="00590007" w:rsidRPr="00590007" w14:paraId="65BF4A6E" w14:textId="77777777" w:rsidTr="00262C49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10438C">
            <w:pPr>
              <w:contextualSpacing/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E316B0" w:rsidRDefault="00590007" w:rsidP="0010438C">
            <w:pPr>
              <w:contextualSpacing/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E316B0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10438C">
            <w:pPr>
              <w:contextualSpacing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262C49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10438C">
            <w:pPr>
              <w:contextualSpacing/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90164" w14:textId="659E42FF" w:rsidR="00590007" w:rsidRPr="00A4340F" w:rsidRDefault="00E316B0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A4340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Najnižšia celková cena za dodanie predmetu zákazky v eur bez DPH</w:t>
            </w:r>
            <w:r w:rsidR="00B37A9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  <w:p w14:paraId="24528D7B" w14:textId="220272D1" w:rsidR="00380FCF" w:rsidRPr="00590007" w:rsidRDefault="00380FCF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4340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Elektronická aukcia sa neuplatní.</w:t>
            </w:r>
          </w:p>
        </w:tc>
      </w:tr>
      <w:tr w:rsidR="00590007" w:rsidRPr="00590007" w14:paraId="73114DDE" w14:textId="77777777" w:rsidTr="00262C49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10438C">
            <w:pPr>
              <w:contextualSpacing/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C37E2F" w14:textId="7EF574BB" w:rsidR="00185EE0" w:rsidRDefault="00E316B0" w:rsidP="0010438C">
            <w:pPr>
              <w:contextualSpacing/>
              <w:jc w:val="center"/>
            </w:pPr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Prostredníctvom el</w:t>
            </w:r>
            <w:r w:rsidR="00F60978"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ektronického systému JOSEPHINE</w:t>
            </w:r>
          </w:p>
          <w:p w14:paraId="0C9CB67B" w14:textId="298C1CF3" w:rsidR="00BB1242" w:rsidRPr="0010438C" w:rsidRDefault="00185EE0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>
              <w:t xml:space="preserve">ID: </w:t>
            </w:r>
            <w:r w:rsidRPr="00185EE0">
              <w:t>54558</w:t>
            </w:r>
          </w:p>
        </w:tc>
      </w:tr>
      <w:tr w:rsidR="00590007" w:rsidRPr="00590007" w14:paraId="38FEB974" w14:textId="77777777" w:rsidTr="00262C49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10438C">
            <w:pPr>
              <w:contextualSpacing/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EB48C78" w:rsidR="00590007" w:rsidRPr="00590007" w:rsidRDefault="00816B1E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10</w:t>
            </w:r>
            <w:r w:rsidR="00E46EDE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  <w:r w:rsidR="008A1F04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0</w:t>
            </w:r>
            <w:r w:rsidR="00431D9E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4</w:t>
            </w:r>
            <w:r w:rsidR="00BE1C71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.202</w:t>
            </w:r>
            <w:r w:rsidR="008A1F04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4</w:t>
            </w:r>
            <w:r w:rsidR="00BE1C71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od 1</w:t>
            </w:r>
            <w:r w:rsidR="00431D9E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6</w:t>
            </w:r>
            <w:r w:rsidR="00BE1C71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:00 hod.</w:t>
            </w:r>
          </w:p>
        </w:tc>
      </w:tr>
      <w:tr w:rsidR="00590007" w:rsidRPr="00590007" w14:paraId="4D2AFE59" w14:textId="77777777" w:rsidTr="00262C49">
        <w:trPr>
          <w:trHeight w:val="84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10438C">
            <w:pPr>
              <w:contextualSpacing/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10438C">
            <w:pPr>
              <w:contextualSpacing/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36475" w14:textId="7E0C0EFC" w:rsidR="00FF2B3B" w:rsidRPr="00380FCF" w:rsidRDefault="00FF2B3B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1.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0F01C7BB" w14:textId="0D290A3F" w:rsidR="00FF2B3B" w:rsidRPr="00380FCF" w:rsidRDefault="00FF2B3B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1.1. predloží </w:t>
            </w:r>
            <w:proofErr w:type="spellStart"/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scan</w:t>
            </w:r>
            <w:proofErr w:type="spellEnd"/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originálu alebo úradne overenej kópie výpisu z obchodného registra, živnostenského registra alebo iného registra, v rámci ktorého má zapísané predmetné oprávnenie alebo </w:t>
            </w:r>
          </w:p>
          <w:p w14:paraId="525801B6" w14:textId="7E73D013" w:rsidR="00FF2B3B" w:rsidRPr="00E81FE5" w:rsidRDefault="00FF2B3B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1.2. </w:t>
            </w:r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uvedie vo svojej ponuke </w:t>
            </w:r>
            <w:proofErr w:type="spellStart"/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link</w:t>
            </w:r>
            <w:proofErr w:type="spellEnd"/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na verejne dostupný register podľa vyššie uvedeného, 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alebo</w:t>
            </w:r>
          </w:p>
          <w:p w14:paraId="1546867A" w14:textId="386698F4" w:rsidR="00FF2B3B" w:rsidRPr="00380FCF" w:rsidRDefault="00FF2B3B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E81FE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1.3. uvedie vo svojej ponuke registračné číslo, pod ktorým je zapísaný v Zozname hospodárskych subjektov, ktorý je vedený Úradom pre verejné obstarávanie.</w:t>
            </w: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79E6D203" w14:textId="40A55994" w:rsidR="00590007" w:rsidRPr="00380FCF" w:rsidRDefault="00FF2B3B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Zadávateľ si skutočnosti podľa bodu 1.2 a 1.3 overí v rámci predmetných registrov/zoznamov.</w:t>
            </w:r>
            <w:r w:rsidR="0060671B"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39E2CEF9" w14:textId="1D1AABAB" w:rsidR="0060671B" w:rsidRPr="00590007" w:rsidRDefault="0060671B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2.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380FC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predloží čestné vyhlásenie podľa vzoru, ktorý tvorí prílohu č. 4 Súťažných podkladov.</w:t>
            </w:r>
          </w:p>
        </w:tc>
      </w:tr>
      <w:tr w:rsidR="00590007" w:rsidRPr="00590007" w14:paraId="692377CF" w14:textId="77777777" w:rsidTr="0010438C">
        <w:trPr>
          <w:trHeight w:val="2117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10438C">
            <w:pPr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A88BF" w14:textId="4285E111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2. Zoznam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dodávok tovaru  za predchádzajúce tri roky od vyhlásenia  zákazky s uvedením  cien, lehôt dodania a odberateľov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</w:t>
            </w:r>
          </w:p>
          <w:p w14:paraId="52BCFEAC" w14:textId="77777777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0C512511" w14:textId="2E4120F0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Zadávateľ požaduje predloženie zoznamu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dodávok tovaru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, v ktorom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uvedie zrealizovan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ú/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é zákazk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u/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y rovnakého alebo obdobného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lastRenderedPageBreak/>
              <w:t>charakteru ako pred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met zákazky za predchádzajúce tri (3) roky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, a to spätne k dátumu vyhlásenia obstarávania v elektronickom systém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JOSEPHINE (</w:t>
            </w:r>
            <w:proofErr w:type="spellStart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t.j</w:t>
            </w:r>
            <w:proofErr w:type="spellEnd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. lehotou sa rozumie deň a mesiac), ktor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ej/</w:t>
            </w:r>
            <w:proofErr w:type="spellStart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ých</w:t>
            </w:r>
            <w:proofErr w:type="spellEnd"/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súhrnná hodnota za uvedené obdobie je minimálne </w:t>
            </w:r>
            <w:r w:rsidR="004E13E2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3</w:t>
            </w:r>
            <w:r w:rsidR="00131921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4</w:t>
            </w:r>
            <w:r w:rsidR="004E13E2" w:rsidRPr="0013192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0 000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,- EUR bez DPH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. </w:t>
            </w:r>
          </w:p>
          <w:p w14:paraId="2007C5EF" w14:textId="77777777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6541239C" w14:textId="60D2816E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V prípade, ak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predkladá zmluvu, ktorej realizácia presahuje rozhodné obdobie, t. j. realizácia danej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dodávky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(zmluvy) začala pred viac ako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tromi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rokmi, alebo nebola skončená do vyhlásenia obstarávania,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v zozname uvedie zvlášť rozpočtový náklad</w:t>
            </w:r>
            <w:r w:rsid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,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iba za tú časť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dodávky tovaru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, ktorá bola realizovaná a fakturovaná v požadovanom období.</w:t>
            </w:r>
          </w:p>
          <w:p w14:paraId="0F0003F2" w14:textId="77777777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0EA42073" w14:textId="093CB5C8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V prípade, ak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dodávky tovarov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realizoval </w:t>
            </w:r>
            <w:r w:rsidR="0084343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dodávateľ</w:t>
            </w:r>
            <w:r w:rsidR="0084343A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ako člen združenia alebo ako subdodávateľ, vyčísli a započíta iba finančný objem, realizovaný ním samotným.</w:t>
            </w:r>
          </w:p>
          <w:p w14:paraId="497DA4D5" w14:textId="77777777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</w:p>
          <w:p w14:paraId="74295D09" w14:textId="10E241A3" w:rsidR="00262C49" w:rsidRPr="00BF4EAB" w:rsidRDefault="00262C49" w:rsidP="0010438C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Zoznam uskutočnených </w:t>
            </w:r>
            <w:r w:rsidR="004E13E2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dodávok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musí obsahovať minimálne:</w:t>
            </w:r>
          </w:p>
          <w:p w14:paraId="71E3246B" w14:textId="279F0627" w:rsidR="00262C49" w:rsidRPr="00BF4EAB" w:rsidRDefault="00262C49" w:rsidP="004D4374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identifikáciu odberateľa (obchodné meno a adresa),</w:t>
            </w:r>
          </w:p>
          <w:p w14:paraId="31F90A58" w14:textId="280C20B7" w:rsidR="00262C49" w:rsidRPr="00BF4EAB" w:rsidRDefault="00262C49" w:rsidP="004D4374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názov a stručný opis predmetu zmluvy, z ktorého bude možné posúdiť splnenie podmienky účasti,</w:t>
            </w:r>
          </w:p>
          <w:p w14:paraId="3A0E93FB" w14:textId="4E3E4201" w:rsidR="00262C49" w:rsidRPr="00BF4EAB" w:rsidRDefault="00262C49" w:rsidP="004D4374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zmluvnú cenu zákazky a skutočne vyfakturovanú cenu zákazky v eur bez DPH (v prípade rozdielu medzi zmluvnou a vyfakturovanou cenou sa uvedie dôvod rozdielu), </w:t>
            </w:r>
          </w:p>
          <w:p w14:paraId="5C4FDEFF" w14:textId="32FD4C9F" w:rsidR="00262C49" w:rsidRPr="00BF4EAB" w:rsidRDefault="00262C49" w:rsidP="004D4374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zmluvný a skutočný termín </w:t>
            </w:r>
            <w:r w:rsid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dodania</w:t>
            </w:r>
            <w:r w:rsidR="005A6E30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predmetu</w:t>
            </w:r>
            <w:r w:rsid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zákazky</w:t>
            </w: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(v prípade rozdielu uviesť dôvod),</w:t>
            </w:r>
          </w:p>
          <w:p w14:paraId="2D5D2364" w14:textId="4B07D0B8" w:rsidR="005A6E30" w:rsidRPr="005A6E30" w:rsidRDefault="00262C49" w:rsidP="004D4374">
            <w:pPr>
              <w:pStyle w:val="Odsekzoznamu"/>
              <w:numPr>
                <w:ilvl w:val="0"/>
                <w:numId w:val="3"/>
              </w:numPr>
              <w:ind w:left="451" w:hanging="284"/>
              <w:jc w:val="center"/>
              <w:rPr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meno, funkcia a kontakt na osobu odberateľa, u ktorej si bude možné uvedené údaje overiť.</w:t>
            </w:r>
          </w:p>
        </w:tc>
      </w:tr>
      <w:tr w:rsidR="00590007" w:rsidRPr="00590007" w14:paraId="5CA44BA6" w14:textId="77777777" w:rsidTr="00262C49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10438C">
            <w:pPr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66BF6644" w:rsidR="00590007" w:rsidRPr="00BF4EAB" w:rsidRDefault="004E13E2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</w:pPr>
            <w:r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Nepožaduje sa.</w:t>
            </w:r>
            <w:r w:rsidR="00C710D0" w:rsidRPr="00BF4EA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 </w:t>
            </w:r>
          </w:p>
        </w:tc>
      </w:tr>
    </w:tbl>
    <w:p w14:paraId="63B22072" w14:textId="4393A9C7" w:rsidR="00590007" w:rsidRDefault="00590007" w:rsidP="004D437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7F6BD0D" w14:textId="77777777" w:rsidR="004D4374" w:rsidRDefault="004D4374" w:rsidP="004D437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67BB1C0" w14:textId="77777777" w:rsidR="004D4374" w:rsidRDefault="004D4374" w:rsidP="004D437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E0BF582" w14:textId="77777777" w:rsidR="004D4374" w:rsidRDefault="004D4374" w:rsidP="004D437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3F8D9F0" w14:textId="77777777" w:rsidR="004D4374" w:rsidRDefault="004D4374" w:rsidP="0010438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55EA7" w:rsidRDefault="00590007" w:rsidP="0010438C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55EA7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55EA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10438C">
            <w:pPr>
              <w:contextualSpacing/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10438C">
            <w:pPr>
              <w:contextualSpacing/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10438C">
            <w:pPr>
              <w:contextualSpacing/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146C884" w14:textId="77777777" w:rsidR="00C710D0" w:rsidRDefault="00C710D0" w:rsidP="0010438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7E65CC8" w14:textId="77777777" w:rsidR="00C710D0" w:rsidRPr="00590007" w:rsidRDefault="00C710D0" w:rsidP="0010438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8DDA474" w:rsidR="00590007" w:rsidRP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0030D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2D0F7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Humennom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5E03F193" w14:textId="39654FF2" w:rsid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560D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5699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</w:t>
            </w:r>
            <w:r w:rsidR="0035653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6</w:t>
            </w:r>
            <w:r w:rsidR="00F60978" w:rsidRPr="000560DA">
              <w:rPr>
                <w:rFonts w:ascii="Calibri" w:eastAsia="Times New Roman" w:hAnsi="Calibri" w:cs="Times New Roman"/>
                <w:color w:val="000000"/>
                <w:lang w:eastAsia="sk-SK"/>
              </w:rPr>
              <w:t>.0</w:t>
            </w:r>
            <w:r w:rsidR="00B930C0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="0060030D" w:rsidRPr="000560DA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60978" w:rsidRPr="000560D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  <w:p w14:paraId="1A953E75" w14:textId="77777777" w:rsidR="00732176" w:rsidRDefault="00732176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7868B1D" w14:textId="77777777" w:rsidR="00732176" w:rsidRDefault="00732176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0E06AD3" w14:textId="77777777" w:rsidR="00732176" w:rsidRDefault="00732176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E6D379C" w14:textId="77777777" w:rsidR="00732176" w:rsidRDefault="00732176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5F62348" w14:textId="58EEDBA5" w:rsidR="00732176" w:rsidRPr="00590007" w:rsidRDefault="00732176" w:rsidP="0010438C">
            <w:pPr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10438C">
            <w:pPr>
              <w:contextualSpacing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F8060D5" w14:textId="77777777" w:rsidR="007359F1" w:rsidRPr="005A6E30" w:rsidRDefault="007359F1" w:rsidP="0010438C">
            <w:pPr>
              <w:pStyle w:val="Bezriadkovania"/>
              <w:contextualSpacing/>
              <w:jc w:val="center"/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sk-SK"/>
              </w:rPr>
            </w:pPr>
            <w:r w:rsidRP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 xml:space="preserve">Ing. Richard </w:t>
            </w:r>
            <w:proofErr w:type="spellStart"/>
            <w:r w:rsidRPr="005A6E3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sk-SK"/>
              </w:rPr>
              <w:t>Gavaľa</w:t>
            </w:r>
            <w:proofErr w:type="spellEnd"/>
            <w:r w:rsidRPr="005A6E30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sk-SK"/>
              </w:rPr>
              <w:t xml:space="preserve"> </w:t>
            </w:r>
          </w:p>
          <w:p w14:paraId="1FB880FB" w14:textId="07BC57C9" w:rsidR="0060030D" w:rsidRPr="0060030D" w:rsidRDefault="0060030D" w:rsidP="0010438C">
            <w:pPr>
              <w:pStyle w:val="Bezriadkovania"/>
              <w:contextualSpacing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A6E30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sk-SK"/>
              </w:rPr>
              <w:t>konateľ</w:t>
            </w:r>
          </w:p>
        </w:tc>
      </w:tr>
    </w:tbl>
    <w:p w14:paraId="679E5173" w14:textId="77777777" w:rsidR="00590007" w:rsidRPr="00590007" w:rsidRDefault="00590007" w:rsidP="0010438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60030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10438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3FFDF0F" w:rsidR="00590007" w:rsidRPr="00590007" w:rsidRDefault="00590007" w:rsidP="004D437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  <w:r w:rsidR="006003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vrátane ich príloh</w:t>
            </w:r>
          </w:p>
        </w:tc>
      </w:tr>
    </w:tbl>
    <w:p w14:paraId="31910D84" w14:textId="77777777" w:rsidR="00590007" w:rsidRPr="00590007" w:rsidRDefault="00590007" w:rsidP="0010438C">
      <w:pPr>
        <w:tabs>
          <w:tab w:val="left" w:pos="1935"/>
        </w:tabs>
        <w:spacing w:after="0" w:line="240" w:lineRule="auto"/>
        <w:contextualSpacing/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65E05" w14:textId="77777777" w:rsidR="00961826" w:rsidRDefault="00961826" w:rsidP="00590007">
      <w:pPr>
        <w:spacing w:after="0" w:line="240" w:lineRule="auto"/>
      </w:pPr>
      <w:r>
        <w:separator/>
      </w:r>
    </w:p>
  </w:endnote>
  <w:endnote w:type="continuationSeparator" w:id="0">
    <w:p w14:paraId="5165B9B3" w14:textId="77777777" w:rsidR="00961826" w:rsidRDefault="00961826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18256F49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0560DA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0560DA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6455F" w14:textId="77777777" w:rsidR="00961826" w:rsidRDefault="00961826" w:rsidP="00590007">
      <w:pPr>
        <w:spacing w:after="0" w:line="240" w:lineRule="auto"/>
      </w:pPr>
      <w:r>
        <w:separator/>
      </w:r>
    </w:p>
  </w:footnote>
  <w:footnote w:type="continuationSeparator" w:id="0">
    <w:p w14:paraId="7E105816" w14:textId="77777777" w:rsidR="00961826" w:rsidRDefault="00961826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0FE1"/>
    <w:multiLevelType w:val="hybridMultilevel"/>
    <w:tmpl w:val="C9A2C0F4"/>
    <w:lvl w:ilvl="0" w:tplc="DA08261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A57DC"/>
    <w:multiLevelType w:val="hybridMultilevel"/>
    <w:tmpl w:val="AE22CAB6"/>
    <w:lvl w:ilvl="0" w:tplc="AE46383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B3E5B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7688">
    <w:abstractNumId w:val="0"/>
  </w:num>
  <w:num w:numId="2" w16cid:durableId="66003101">
    <w:abstractNumId w:val="1"/>
  </w:num>
  <w:num w:numId="3" w16cid:durableId="1110200566">
    <w:abstractNumId w:val="4"/>
  </w:num>
  <w:num w:numId="4" w16cid:durableId="125903448">
    <w:abstractNumId w:val="3"/>
  </w:num>
  <w:num w:numId="5" w16cid:durableId="107219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02E61"/>
    <w:rsid w:val="000560DA"/>
    <w:rsid w:val="0010438C"/>
    <w:rsid w:val="00131921"/>
    <w:rsid w:val="0013530F"/>
    <w:rsid w:val="0016266C"/>
    <w:rsid w:val="00185EE0"/>
    <w:rsid w:val="00193463"/>
    <w:rsid w:val="001E4F66"/>
    <w:rsid w:val="00210708"/>
    <w:rsid w:val="00223903"/>
    <w:rsid w:val="00230C5A"/>
    <w:rsid w:val="00237696"/>
    <w:rsid w:val="00254D6E"/>
    <w:rsid w:val="00262C49"/>
    <w:rsid w:val="00297F8C"/>
    <w:rsid w:val="002A006D"/>
    <w:rsid w:val="002A26FD"/>
    <w:rsid w:val="002B62C0"/>
    <w:rsid w:val="002C0FFD"/>
    <w:rsid w:val="002D0F75"/>
    <w:rsid w:val="002D6674"/>
    <w:rsid w:val="002E39A2"/>
    <w:rsid w:val="002E59B0"/>
    <w:rsid w:val="002F1CE7"/>
    <w:rsid w:val="00315AD6"/>
    <w:rsid w:val="00356533"/>
    <w:rsid w:val="00365191"/>
    <w:rsid w:val="00370872"/>
    <w:rsid w:val="003739F1"/>
    <w:rsid w:val="00380FCF"/>
    <w:rsid w:val="003A2826"/>
    <w:rsid w:val="003A28A9"/>
    <w:rsid w:val="003F3684"/>
    <w:rsid w:val="003F3754"/>
    <w:rsid w:val="004105F7"/>
    <w:rsid w:val="00423E92"/>
    <w:rsid w:val="004316ED"/>
    <w:rsid w:val="00431D9E"/>
    <w:rsid w:val="0045633D"/>
    <w:rsid w:val="00456994"/>
    <w:rsid w:val="00461812"/>
    <w:rsid w:val="00471C48"/>
    <w:rsid w:val="004C0BE8"/>
    <w:rsid w:val="004D4374"/>
    <w:rsid w:val="004E13E2"/>
    <w:rsid w:val="004E3EBA"/>
    <w:rsid w:val="00512FE7"/>
    <w:rsid w:val="00516305"/>
    <w:rsid w:val="005379F2"/>
    <w:rsid w:val="00554075"/>
    <w:rsid w:val="00565380"/>
    <w:rsid w:val="00590007"/>
    <w:rsid w:val="005A6E30"/>
    <w:rsid w:val="0060030D"/>
    <w:rsid w:val="0060671B"/>
    <w:rsid w:val="006378EF"/>
    <w:rsid w:val="00655EA7"/>
    <w:rsid w:val="006778CC"/>
    <w:rsid w:val="006939A7"/>
    <w:rsid w:val="006A1BB1"/>
    <w:rsid w:val="006A6D43"/>
    <w:rsid w:val="006D5E1C"/>
    <w:rsid w:val="006E144E"/>
    <w:rsid w:val="00732176"/>
    <w:rsid w:val="007359F1"/>
    <w:rsid w:val="00745BE2"/>
    <w:rsid w:val="00746CDA"/>
    <w:rsid w:val="007A2E2E"/>
    <w:rsid w:val="007E23C1"/>
    <w:rsid w:val="008064D6"/>
    <w:rsid w:val="00816B1E"/>
    <w:rsid w:val="00817858"/>
    <w:rsid w:val="008417F2"/>
    <w:rsid w:val="0084343A"/>
    <w:rsid w:val="00893595"/>
    <w:rsid w:val="008A1F04"/>
    <w:rsid w:val="008F151B"/>
    <w:rsid w:val="00961826"/>
    <w:rsid w:val="00990E5F"/>
    <w:rsid w:val="009A554E"/>
    <w:rsid w:val="009E7AD9"/>
    <w:rsid w:val="00A2076C"/>
    <w:rsid w:val="00A4340F"/>
    <w:rsid w:val="00A454E1"/>
    <w:rsid w:val="00A52F25"/>
    <w:rsid w:val="00A64373"/>
    <w:rsid w:val="00A72B58"/>
    <w:rsid w:val="00AA33CE"/>
    <w:rsid w:val="00AC1B51"/>
    <w:rsid w:val="00AC1CF2"/>
    <w:rsid w:val="00AD06A7"/>
    <w:rsid w:val="00AD6B1C"/>
    <w:rsid w:val="00B04C22"/>
    <w:rsid w:val="00B25D30"/>
    <w:rsid w:val="00B326B5"/>
    <w:rsid w:val="00B37A99"/>
    <w:rsid w:val="00B42F3D"/>
    <w:rsid w:val="00B50546"/>
    <w:rsid w:val="00B6390E"/>
    <w:rsid w:val="00B930C0"/>
    <w:rsid w:val="00BB1242"/>
    <w:rsid w:val="00BB42E1"/>
    <w:rsid w:val="00BB6DC4"/>
    <w:rsid w:val="00BE1C71"/>
    <w:rsid w:val="00BF0188"/>
    <w:rsid w:val="00BF4EAB"/>
    <w:rsid w:val="00C01102"/>
    <w:rsid w:val="00C2734E"/>
    <w:rsid w:val="00C32796"/>
    <w:rsid w:val="00C439B9"/>
    <w:rsid w:val="00C55E13"/>
    <w:rsid w:val="00C679B8"/>
    <w:rsid w:val="00C70FEC"/>
    <w:rsid w:val="00C710D0"/>
    <w:rsid w:val="00C768B1"/>
    <w:rsid w:val="00CB19CB"/>
    <w:rsid w:val="00CB3416"/>
    <w:rsid w:val="00CB6BB6"/>
    <w:rsid w:val="00CC4F77"/>
    <w:rsid w:val="00CD1F8A"/>
    <w:rsid w:val="00CD30E7"/>
    <w:rsid w:val="00CE148A"/>
    <w:rsid w:val="00CE64C3"/>
    <w:rsid w:val="00CE70EE"/>
    <w:rsid w:val="00D50B14"/>
    <w:rsid w:val="00D87357"/>
    <w:rsid w:val="00DE5897"/>
    <w:rsid w:val="00E02148"/>
    <w:rsid w:val="00E316B0"/>
    <w:rsid w:val="00E42539"/>
    <w:rsid w:val="00E43D56"/>
    <w:rsid w:val="00E46EDE"/>
    <w:rsid w:val="00E55FE5"/>
    <w:rsid w:val="00E57CB3"/>
    <w:rsid w:val="00E632C7"/>
    <w:rsid w:val="00E81FE5"/>
    <w:rsid w:val="00EB12F3"/>
    <w:rsid w:val="00EB2BF9"/>
    <w:rsid w:val="00ED2843"/>
    <w:rsid w:val="00F5699E"/>
    <w:rsid w:val="00F57FD5"/>
    <w:rsid w:val="00F60978"/>
    <w:rsid w:val="00F71676"/>
    <w:rsid w:val="00F81B1E"/>
    <w:rsid w:val="00FD0B32"/>
    <w:rsid w:val="00FD0BA7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ullet Number,lp1,lp11,Use Case List Paragraph,body,Odstavec cíl se seznamem,Odstavec se seznamem1,VS_Odsek,Odsek zoznamu2,Odsek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55EA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55EA7"/>
    <w:rPr>
      <w:color w:val="605E5C"/>
      <w:shd w:val="clear" w:color="auto" w:fill="E1DFDD"/>
    </w:rPr>
  </w:style>
  <w:style w:type="paragraph" w:customStyle="1" w:styleId="Default">
    <w:name w:val="Default"/>
    <w:rsid w:val="002A0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Use Case List Paragraph Char,body Char,Odstavec cíl se seznamem Char,Odstavec se seznamem1 Char,VS_Odsek Char,Odsek zoznamu2 Char,Odsek Char"/>
    <w:link w:val="Odsekzoznamu"/>
    <w:uiPriority w:val="34"/>
    <w:qFormat/>
    <w:locked/>
    <w:rsid w:val="00B04C22"/>
  </w:style>
  <w:style w:type="paragraph" w:styleId="Revzia">
    <w:name w:val="Revision"/>
    <w:hidden/>
    <w:uiPriority w:val="99"/>
    <w:semiHidden/>
    <w:rsid w:val="00BF4EA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F4E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EA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EA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4E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4EA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2C7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E5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4CE1-89C7-4607-80E3-15099375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vojtech kiss</cp:lastModifiedBy>
  <cp:revision>115</cp:revision>
  <cp:lastPrinted>2024-03-22T18:36:00Z</cp:lastPrinted>
  <dcterms:created xsi:type="dcterms:W3CDTF">2023-09-14T08:25:00Z</dcterms:created>
  <dcterms:modified xsi:type="dcterms:W3CDTF">2024-03-27T20:21:00Z</dcterms:modified>
</cp:coreProperties>
</file>