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D4486" w14:textId="6B45D484" w:rsidR="00FD3ED1" w:rsidRPr="00536565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A320A02" w14:textId="765CF64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 w:rsidR="00C350AC" w:rsidRPr="00536565">
        <w:rPr>
          <w:rFonts w:ascii="Cambria" w:hAnsi="Cambria"/>
          <w:sz w:val="20"/>
          <w:szCs w:val="20"/>
          <w:lang w:val="sk-SK"/>
        </w:rPr>
        <w:t>n</w:t>
      </w:r>
      <w:r w:rsidRPr="00536565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7CB6D3A7" w14:textId="2BCD453B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</w:t>
      </w:r>
      <w:r w:rsidRPr="00E22482">
        <w:rPr>
          <w:rFonts w:ascii="Cambria" w:hAnsi="Cambria"/>
          <w:sz w:val="20"/>
          <w:szCs w:val="20"/>
          <w:lang w:val="sk-SK"/>
        </w:rPr>
        <w:t>prílohy B.</w:t>
      </w:r>
      <w:r w:rsidR="00E22482" w:rsidRPr="00E22482">
        <w:rPr>
          <w:rFonts w:ascii="Cambria" w:hAnsi="Cambria"/>
          <w:sz w:val="20"/>
          <w:szCs w:val="20"/>
          <w:lang w:val="sk-SK"/>
        </w:rPr>
        <w:t>3</w:t>
      </w:r>
      <w:r w:rsidRPr="00E22482">
        <w:rPr>
          <w:rFonts w:ascii="Cambria" w:hAnsi="Cambria"/>
          <w:sz w:val="20"/>
          <w:szCs w:val="20"/>
          <w:lang w:val="sk-SK"/>
        </w:rPr>
        <w:t xml:space="preserve"> – B.</w:t>
      </w:r>
      <w:r w:rsidR="00E22482" w:rsidRPr="00E22482">
        <w:rPr>
          <w:rFonts w:ascii="Cambria" w:hAnsi="Cambria"/>
          <w:sz w:val="20"/>
          <w:szCs w:val="20"/>
          <w:lang w:val="sk-SK"/>
        </w:rPr>
        <w:t>17</w:t>
      </w:r>
      <w:r w:rsidRPr="00536565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0CE2A136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D4F4BB0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16178C30" w14:textId="7C7FD8AB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Pre všetky </w:t>
      </w:r>
      <w:r w:rsidR="002E6A59" w:rsidRPr="00536565">
        <w:rPr>
          <w:rFonts w:ascii="Cambria" w:hAnsi="Cambria"/>
          <w:sz w:val="20"/>
          <w:szCs w:val="20"/>
          <w:lang w:val="sk-SK"/>
        </w:rPr>
        <w:t xml:space="preserve">použité </w:t>
      </w:r>
      <w:r w:rsidRPr="00536565">
        <w:rPr>
          <w:rFonts w:ascii="Cambria" w:hAnsi="Cambria"/>
          <w:sz w:val="20"/>
          <w:szCs w:val="20"/>
          <w:lang w:val="sk-SK"/>
        </w:rPr>
        <w:t>stavebné materiály platí, že musia mať vydané platné certifikáty podľa ako sú vyžadované v zmysle zákona č. 133/2013 Z. z.</w:t>
      </w:r>
      <w:r w:rsidRPr="00536565">
        <w:rPr>
          <w:rFonts w:ascii="Cambria" w:hAnsi="Cambria"/>
          <w:sz w:val="20"/>
          <w:szCs w:val="20"/>
        </w:rPr>
        <w:t xml:space="preserve"> </w:t>
      </w:r>
      <w:r w:rsidRPr="00536565">
        <w:rPr>
          <w:rFonts w:ascii="Cambria" w:hAnsi="Cambria"/>
          <w:sz w:val="20"/>
          <w:szCs w:val="20"/>
          <w:lang w:val="sk-SK"/>
        </w:rPr>
        <w:t>o stavebných výrobkoch a o zmene a doplnení niektorých zákonov v znení neskorších predpisov.</w:t>
      </w:r>
    </w:p>
    <w:p w14:paraId="2069BA9F" w14:textId="77777777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Zároveň všetky inštalované zariadenia či iné tovary musia mať vydané vyhlásenie o zhode podľa zákona č. 56/2018 Z. z. o posudzovaní zhody výrobku, sprístupňovaní určeného výrobku na trhu a o zmene a doplnení niektorých zákonov v znení neskorších predpisov. </w:t>
      </w:r>
    </w:p>
    <w:p w14:paraId="13292D8C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877C13" w:rsidRPr="00536565" w14:paraId="78C248BD" w14:textId="77777777" w:rsidTr="00260260"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2DC507C9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6424" w:type="dxa"/>
            <w:shd w:val="clear" w:color="auto" w:fill="A6A6A6" w:themeFill="background1" w:themeFillShade="A6"/>
            <w:vAlign w:val="center"/>
          </w:tcPr>
          <w:p w14:paraId="7AC87F23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všeobecné požiadavky</w:t>
            </w:r>
          </w:p>
        </w:tc>
      </w:tr>
      <w:tr w:rsidR="00877C13" w:rsidRPr="00536565" w14:paraId="25A88693" w14:textId="77777777" w:rsidTr="2A26D6A7">
        <w:tc>
          <w:tcPr>
            <w:tcW w:w="2972" w:type="dxa"/>
          </w:tcPr>
          <w:p w14:paraId="506D71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6424" w:type="dxa"/>
          </w:tcPr>
          <w:p w14:paraId="11AAD212" w14:textId="7C904B0C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EECA95B" w14:textId="73627568" w:rsidR="007C1ECD" w:rsidRPr="00536565" w:rsidRDefault="007C1ECD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</w:t>
            </w:r>
            <w:r w:rsidR="00A4361E" w:rsidRPr="00536565">
              <w:rPr>
                <w:rFonts w:ascii="Cambria" w:hAnsi="Cambria"/>
                <w:sz w:val="20"/>
                <w:szCs w:val="20"/>
                <w:lang w:val="sk-SK"/>
              </w:rPr>
              <w:t>: Minerálna vlna</w:t>
            </w:r>
          </w:p>
          <w:p w14:paraId="6149C2D2" w14:textId="09AB11A6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vonkajšej omietky: silikónová omietka, hrúbka zrna </w:t>
            </w:r>
            <w:r w:rsidR="007B7FB7" w:rsidRPr="00536565">
              <w:rPr>
                <w:rFonts w:ascii="Cambria" w:hAnsi="Cambria"/>
                <w:sz w:val="20"/>
                <w:szCs w:val="20"/>
              </w:rPr>
              <w:t>2</w:t>
            </w:r>
            <w:r w:rsidR="007B7FB7" w:rsidRPr="00536565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 w:rsidR="008532FE" w:rsidRPr="00536565">
              <w:rPr>
                <w:rFonts w:ascii="Cambria" w:hAnsi="Cambria"/>
                <w:sz w:val="20"/>
                <w:szCs w:val="20"/>
                <w:lang w:val="sk-SK"/>
              </w:rPr>
              <w:t>, šúchaná (škrabaná) štruktúra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5C3DAAA" w14:textId="54EE3BE2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877C13" w:rsidRPr="00536565" w14:paraId="5A74DF67" w14:textId="77777777" w:rsidTr="2A26D6A7">
        <w:tc>
          <w:tcPr>
            <w:tcW w:w="2972" w:type="dxa"/>
          </w:tcPr>
          <w:p w14:paraId="4D3F6E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6424" w:type="dxa"/>
          </w:tcPr>
          <w:p w14:paraId="1581C796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ED2723A" w14:textId="5698BCC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hydroizolačná PVC fólia</w:t>
            </w:r>
          </w:p>
        </w:tc>
      </w:tr>
      <w:tr w:rsidR="00E2415A" w:rsidRPr="00536565" w14:paraId="1624103F" w14:textId="77777777" w:rsidTr="2A26D6A7">
        <w:tc>
          <w:tcPr>
            <w:tcW w:w="2972" w:type="dxa"/>
          </w:tcPr>
          <w:p w14:paraId="10C9B0D9" w14:textId="70541A15" w:rsidR="00E2415A" w:rsidRPr="00536565" w:rsidRDefault="00E2415A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004124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6424" w:type="dxa"/>
          </w:tcPr>
          <w:p w14:paraId="024A3495" w14:textId="77777777" w:rsidR="00412460" w:rsidRPr="00536565" w:rsidRDefault="00412460" w:rsidP="00412460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881B021" w14:textId="77777777" w:rsidR="008A37FC" w:rsidRPr="00536565" w:rsidRDefault="748C3ACA" w:rsidP="002204C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yžaduje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sa 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>zateplenie medzi krokvy.</w:t>
            </w:r>
          </w:p>
          <w:p w14:paraId="24922862" w14:textId="0ECE37F7" w:rsidR="00E2415A" w:rsidRPr="00536565" w:rsidRDefault="008A37FC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="0EFE0596"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877C13" w:rsidRPr="00536565" w14:paraId="0F4921F6" w14:textId="77777777" w:rsidTr="2A26D6A7">
        <w:tc>
          <w:tcPr>
            <w:tcW w:w="2972" w:type="dxa"/>
          </w:tcPr>
          <w:p w14:paraId="50AB656F" w14:textId="14A51DF0" w:rsidR="00877C13" w:rsidRPr="00536565" w:rsidRDefault="00877C13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1EB845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</w:t>
            </w:r>
            <w:r w:rsidR="00EC0636" w:rsidRPr="0053656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06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6424" w:type="dxa"/>
          </w:tcPr>
          <w:p w14:paraId="4A1CE6B4" w14:textId="77777777" w:rsidR="0032265F" w:rsidRPr="00536565" w:rsidRDefault="0032265F" w:rsidP="0032265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A5F2632" w14:textId="2D780C09" w:rsidR="00877C13" w:rsidRPr="00536565" w:rsidRDefault="00562021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ožaduje zateplenie podlahy nevykurovaného podstrešného priestoru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hrúbky 25mm.</w:t>
            </w:r>
          </w:p>
        </w:tc>
      </w:tr>
      <w:tr w:rsidR="00877C13" w:rsidRPr="00536565" w14:paraId="098CB9BC" w14:textId="77777777" w:rsidTr="2A26D6A7">
        <w:tc>
          <w:tcPr>
            <w:tcW w:w="2972" w:type="dxa"/>
          </w:tcPr>
          <w:p w14:paraId="7C094EBC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stropu nevykurovaného priestoru</w:t>
            </w:r>
          </w:p>
        </w:tc>
        <w:tc>
          <w:tcPr>
            <w:tcW w:w="6424" w:type="dxa"/>
          </w:tcPr>
          <w:p w14:paraId="5C639D13" w14:textId="2B240B0E" w:rsidR="00877C13" w:rsidRPr="00536565" w:rsidRDefault="00877C13" w:rsidP="009D57E2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748DB897" w14:textId="77777777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7BEF7F20" w14:textId="26E72292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lepidlo +</w:t>
            </w:r>
            <w:r w:rsidR="0072405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armovacia sieťka</w:t>
            </w:r>
          </w:p>
          <w:p w14:paraId="0C1E82CD" w14:textId="2E49B2F8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1458541C" w14:textId="77777777" w:rsidTr="2A26D6A7">
        <w:tc>
          <w:tcPr>
            <w:tcW w:w="2972" w:type="dxa"/>
          </w:tcPr>
          <w:p w14:paraId="76BE0ACE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obvodových stien pod terénom</w:t>
            </w:r>
          </w:p>
        </w:tc>
        <w:tc>
          <w:tcPr>
            <w:tcW w:w="6424" w:type="dxa"/>
          </w:tcPr>
          <w:p w14:paraId="73B172C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 rámci opatrenia sa požaduje zatepliť steny  z vonkajšej strany.</w:t>
            </w:r>
          </w:p>
          <w:p w14:paraId="798E06F3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8AD8872" w14:textId="6C1CBBD7" w:rsidR="00877C13" w:rsidRPr="00536565" w:rsidRDefault="00DF14EF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materiál: extrudovaný polystyrén XPS ( styrodur), pod terénom zatepľovať do hĺbky 60 cm</w:t>
            </w:r>
            <w:r w:rsidR="006E3DA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NOPOVÁ fólia</w:t>
            </w:r>
            <w:r w:rsidR="006E3DAE" w:rsidRPr="00536565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7C13" w:rsidRPr="00536565" w14:paraId="5317A864" w14:textId="77777777" w:rsidTr="2A26D6A7">
        <w:tc>
          <w:tcPr>
            <w:tcW w:w="2972" w:type="dxa"/>
          </w:tcPr>
          <w:p w14:paraId="51CB5C4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</w:p>
        </w:tc>
        <w:tc>
          <w:tcPr>
            <w:tcW w:w="6424" w:type="dxa"/>
          </w:tcPr>
          <w:p w14:paraId="019F7E1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B5D71B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0A05F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7893D441" w14:textId="6EAAFB59" w:rsidR="00877C13" w:rsidRPr="00536565" w:rsidRDefault="18C02A3F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min. 6- komorov</w:t>
            </w:r>
            <w:r w:rsidR="1DB14871" w:rsidRPr="00536565">
              <w:rPr>
                <w:rFonts w:ascii="Cambria" w:hAnsi="Cambria"/>
                <w:sz w:val="20"/>
                <w:szCs w:val="20"/>
                <w:lang w:val="sk-SK"/>
              </w:rPr>
              <w:t>ý profil</w:t>
            </w:r>
          </w:p>
          <w:p w14:paraId="5A42C7A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Izolačné trojsklo</w:t>
            </w:r>
          </w:p>
          <w:p w14:paraId="4EF28220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876D666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Parapet – eloxovaný hliník vo farbe okna, s koncovkami</w:t>
            </w:r>
          </w:p>
          <w:p w14:paraId="120BD98E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 koncovkami</w:t>
            </w:r>
          </w:p>
          <w:p w14:paraId="6BA5CF8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5C1E7667" w14:textId="77777777" w:rsidTr="2A26D6A7">
        <w:tc>
          <w:tcPr>
            <w:tcW w:w="2972" w:type="dxa"/>
          </w:tcPr>
          <w:p w14:paraId="226D0E5B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6424" w:type="dxa"/>
          </w:tcPr>
          <w:p w14:paraId="4CCC7E84" w14:textId="24520F65" w:rsidR="001B257C" w:rsidRPr="00536565" w:rsidRDefault="004D2CF7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Verejný obstarávateľ požaduje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inštaláciu meracích zariadení na vstupoch médií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(teplo,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teplá voda,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zemný plyn, elektrina, voda)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do objektov.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Meracie zariadenia </w:t>
            </w:r>
            <w:r w:rsidR="00BB0310" w:rsidRPr="00536565">
              <w:rPr>
                <w:rFonts w:ascii="Cambria" w:hAnsi="Cambria"/>
                <w:sz w:val="20"/>
                <w:szCs w:val="20"/>
                <w:lang w:val="sk-SK"/>
              </w:rPr>
              <w:t>musia byť vybavené impulzným výstupom umožňujúci zaznamenávať zmenu stavu dodaného množstva.</w:t>
            </w:r>
          </w:p>
        </w:tc>
      </w:tr>
      <w:tr w:rsidR="00877C13" w:rsidRPr="00536565" w14:paraId="044DC563" w14:textId="77777777" w:rsidTr="2A26D6A7">
        <w:tc>
          <w:tcPr>
            <w:tcW w:w="2972" w:type="dxa"/>
          </w:tcPr>
          <w:p w14:paraId="17B12F3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6424" w:type="dxa"/>
          </w:tcPr>
          <w:p w14:paraId="036C92F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74DF21A" w14:textId="61214088" w:rsidR="00877C13" w:rsidRPr="00536565" w:rsidRDefault="00C64E39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Vyžaduje sa použitie LED svietidiel,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Farba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svetla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>do 3000K (teplá biela)</w:t>
            </w:r>
            <w:r w:rsidR="00516B28" w:rsidRPr="00536565">
              <w:rPr>
                <w:rFonts w:ascii="Cambria" w:hAnsi="Cambria"/>
                <w:sz w:val="20"/>
                <w:szCs w:val="20"/>
                <w:lang w:val="sk-SK"/>
              </w:rPr>
              <w:t>,</w:t>
            </w:r>
          </w:p>
        </w:tc>
      </w:tr>
      <w:tr w:rsidR="00877C13" w:rsidRPr="00536565" w14:paraId="516EF02E" w14:textId="77777777" w:rsidTr="2A26D6A7">
        <w:tc>
          <w:tcPr>
            <w:tcW w:w="2972" w:type="dxa"/>
          </w:tcPr>
          <w:p w14:paraId="7C459E7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6424" w:type="dxa"/>
          </w:tcPr>
          <w:p w14:paraId="15DCC49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solárnych kolektorov požaduje verejný obstarávateľ aby použité slnečné kolektory mali akreditovanou skúšobnou vydaný doklad o výkone určenom v skúšobnom protokole certifikátu Solar Keymark pri testovacích podmienkach (ožiarenie 1000 W/m², teplotný rozdiel 30 °C).</w:t>
            </w:r>
          </w:p>
        </w:tc>
      </w:tr>
      <w:tr w:rsidR="00877C13" w:rsidRPr="00536565" w14:paraId="7D11864B" w14:textId="77777777" w:rsidTr="2A26D6A7">
        <w:tc>
          <w:tcPr>
            <w:tcW w:w="2972" w:type="dxa"/>
          </w:tcPr>
          <w:p w14:paraId="2801034F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fotovoltických panelov</w:t>
            </w:r>
          </w:p>
        </w:tc>
        <w:tc>
          <w:tcPr>
            <w:tcW w:w="6424" w:type="dxa"/>
          </w:tcPr>
          <w:p w14:paraId="49E8A51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fotovoltických panelov verejný obstarávateľ požaduje aby použité fotovoltické panely mali akreditovaným orgánom podľa zákona č. 505/2009 Z. z. o akreditácii orgánov posudzovania zhody a o zmene a doplnení niektorých zákonov v znení neskorších predpisov vydaný výstupný dokument o posúdení zhody, v ktorom tento orgán deklaruje výkon výrobku pri štandardných testovacích podmienkach (ožiarenie 1000 W/m², teplota panelu 25 °C) a súčasne mali vydané vyhlásenie o zhode podľa zákona č. 56/2018 Z. z. o posudzovaní zhody výrobku, sprístupňovaní určeného výrobku na trhu a o zmene a doplnení niektorých zákonov v znení neskorších predpisov.</w:t>
            </w:r>
          </w:p>
        </w:tc>
      </w:tr>
    </w:tbl>
    <w:p w14:paraId="3EDB853E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7F5481D6" w14:textId="04D2EA07" w:rsidR="00790E72" w:rsidRPr="00536565" w:rsidRDefault="00877C13" w:rsidP="00536565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V prípade ak realizáciou opatrení dôjde k porušeniu alebo poškodeniu povrchov stien a stropov verejný obstarávateľ požaduje ich uvedenie do pôvodného stavu prostredníctvom vhodného </w:t>
      </w:r>
      <w:proofErr w:type="spellStart"/>
      <w:r w:rsidRPr="00536565">
        <w:rPr>
          <w:rFonts w:ascii="Cambria" w:hAnsi="Cambria"/>
          <w:sz w:val="20"/>
          <w:szCs w:val="20"/>
          <w:lang w:val="sk-SK"/>
        </w:rPr>
        <w:t>vyspravenia</w:t>
      </w:r>
      <w:proofErr w:type="spellEnd"/>
      <w:r w:rsidRPr="00536565">
        <w:rPr>
          <w:rFonts w:ascii="Cambria" w:hAnsi="Cambria"/>
          <w:sz w:val="20"/>
          <w:szCs w:val="20"/>
          <w:lang w:val="sk-SK"/>
        </w:rPr>
        <w:t xml:space="preserve"> a náteru.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C252A6" w:rsidRPr="00536565" w14:paraId="14078A4C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B43" w14:textId="77777777" w:rsidR="00C252A6" w:rsidRPr="00536565" w:rsidRDefault="00C252A6" w:rsidP="00FD07E6">
            <w:pPr>
              <w:spacing w:after="0" w:line="240" w:lineRule="auto"/>
              <w:ind w:firstLineChars="100" w:firstLine="20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FE3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4CADB459" w14:textId="77777777" w:rsidTr="00C8448C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9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BDE" w14:textId="07CFA93E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Divadlo Pavla Országha Hviezdoslava </w:t>
            </w:r>
          </w:p>
        </w:tc>
      </w:tr>
      <w:tr w:rsidR="00C252A6" w:rsidRPr="00536565" w14:paraId="3E13C950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43F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88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</w:t>
            </w:r>
          </w:p>
        </w:tc>
      </w:tr>
      <w:tr w:rsidR="00C252A6" w:rsidRPr="00536565" w14:paraId="057FB4A6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A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1FC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Gorkého 5</w:t>
            </w:r>
          </w:p>
        </w:tc>
      </w:tr>
      <w:tr w:rsidR="00C252A6" w:rsidRPr="00536565" w14:paraId="7BC863C8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6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5CE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5848E534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AE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252A6" w:rsidRPr="00536565" w14:paraId="00CB8769" w14:textId="77777777" w:rsidTr="00C8448C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DFB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252A6" w:rsidRPr="00536565" w14:paraId="7EE0761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DDC4" w14:textId="4EFBDDD2" w:rsidR="00C252A6" w:rsidRPr="00536565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- 10-01 / Zateplenie plochej strechy</w:t>
            </w:r>
            <w:r w:rsidR="00F43A1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6B60B18" w14:textId="57C891E0" w:rsidR="00C252A6" w:rsidRPr="00EB5690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10-02 / </w:t>
            </w:r>
            <w:r w:rsidR="007C127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Výmena otvorových konštrukcií</w:t>
            </w:r>
            <w:r w:rsidR="00F43A1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, okrem otvorových konštrukcií umeleckého charakteru – vitráží nad vstupom z Laurinskej ulici.</w:t>
            </w:r>
            <w:r w:rsidR="00DC15C5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Požaduje </w:t>
            </w:r>
            <w:r w:rsidR="007C127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sa minimálne výmena tých otvorových konštrukcií, ktoré nespĺňajú normatívne požiadavky UW, max=1,7</w:t>
            </w:r>
            <w:r w:rsidR="00DC15C5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.</w:t>
            </w:r>
          </w:p>
          <w:p w14:paraId="50D462D5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252A6" w:rsidRPr="00536565" w14:paraId="578C5CF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7193" w14:textId="77777777" w:rsidR="00C252A6" w:rsidRPr="00536565" w:rsidRDefault="00C252A6" w:rsidP="00FD07E6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1EF7D092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- 10-03 / Hydraulické vyregulovanie a termostatizácia vykurovacej sústavy.</w:t>
            </w:r>
          </w:p>
          <w:p w14:paraId="53F88811" w14:textId="481B2D9C" w:rsidR="02924DF3" w:rsidRPr="00536565" w:rsidRDefault="00C252A6" w:rsidP="00C8448C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- 10-04 / Modernizácia osvetľovacej sústavy </w:t>
            </w:r>
            <w:r w:rsidR="00190CB2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priestoroch ZUŠ a ubytovne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 rozsahu výmeny svietidiel pri zabezpečení splnenia parametrov podľa STN EN 12464-1</w:t>
            </w:r>
            <w:r w:rsidR="02924DF3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12B894DB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- 10-05 / Inštalácia meracích a komunikačných zariadení pre meranie, prenos a zaznamenávanie údajov o spotrebe energie a dosahovaných parametroch prevádzky budovy.</w:t>
            </w:r>
          </w:p>
          <w:p w14:paraId="4E334284" w14:textId="1EFE6C87" w:rsidR="00C252A6" w:rsidRPr="00536565" w:rsidRDefault="00C252A6" w:rsidP="00FD07E6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1F8B9B32" w14:textId="6975498D" w:rsidR="00C252A6" w:rsidRPr="00536565" w:rsidRDefault="00C252A6" w:rsidP="00FD07E6">
            <w:pPr>
              <w:spacing w:line="276" w:lineRule="auto"/>
              <w:rPr>
                <w:rFonts w:ascii="Cambria" w:hAnsi="Cambria"/>
                <w:sz w:val="20"/>
                <w:szCs w:val="20"/>
                <w:lang w:val="sk-SK" w:eastAsia="sk-SK"/>
              </w:rPr>
            </w:pPr>
            <w:r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- 10-101 / Zabezpečiť rekonštrukciu technológie chladenia pre priestory hľadiska, javiska a foyeru (Zar. č. 1, 2, 19), ktorá bude pozostávať z vybudovania nového zariadenia na výrobu chladu a výmeny jestvujúcich chladičov v komorách VZT jednotiek.</w:t>
            </w:r>
            <w:r w:rsidR="00CC3974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chladu navrhne uchádzač tak, aby zrekonštruovaný zdroj chladu pokryl potrebu chladu </w:t>
            </w:r>
            <w:r w:rsidR="002A4FF8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pre priestory hľadiska, javiska a foyeru (Zar. č. 1, 2, 19)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chladu tak, aby tento zdroj chladu pokryl potrebu chladu v budove po realizácii ostatných požadovaných opatrení.</w:t>
            </w:r>
            <w:r w:rsidRPr="00536565">
              <w:rPr>
                <w:rFonts w:ascii="Cambria" w:hAnsi="Cambria"/>
                <w:sz w:val="20"/>
                <w:szCs w:val="20"/>
                <w:lang w:val="sk-SK" w:eastAsia="sk-SK"/>
              </w:rPr>
              <w:t xml:space="preserve">       </w:t>
            </w:r>
          </w:p>
          <w:p w14:paraId="7BD11F9F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772234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EC516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0BBF3E1A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5FC6FA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6DB86F22" w14:textId="42BE34CD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70987B3" w14:textId="253C3EAE" w:rsidR="00A546E0" w:rsidRPr="00536565" w:rsidRDefault="00A546E0">
      <w:pPr>
        <w:rPr>
          <w:rFonts w:ascii="Cambria" w:hAnsi="Cambria"/>
          <w:sz w:val="20"/>
          <w:szCs w:val="20"/>
        </w:rPr>
      </w:pPr>
    </w:p>
    <w:p w14:paraId="4C5EEEE3" w14:textId="77777777" w:rsidR="00FD07E6" w:rsidRPr="00536565" w:rsidRDefault="00FD07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536565" w14:paraId="7125A548" w14:textId="77777777" w:rsidTr="00337FDB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536565" w:rsidRDefault="0057585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536565" w14:paraId="7EF97829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47C2AA0F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CVČ Hlinícka objekt „A“</w:t>
            </w:r>
          </w:p>
        </w:tc>
      </w:tr>
      <w:tr w:rsidR="00F67A82" w:rsidRPr="00536565" w14:paraId="56CD7005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08680ED7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</w:p>
        </w:tc>
      </w:tr>
      <w:tr w:rsidR="00F67A82" w:rsidRPr="00536565" w14:paraId="158F1851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7050DF7C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Hlinícka 3</w:t>
            </w:r>
          </w:p>
        </w:tc>
      </w:tr>
      <w:tr w:rsidR="00F67A82" w:rsidRPr="00536565" w14:paraId="370396DC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F67A82" w:rsidRPr="00536565" w14:paraId="073BD659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16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67A82" w:rsidRPr="00536565" w14:paraId="551659A3" w14:textId="77777777" w:rsidTr="00337FDB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AF2FA8" w:rsidRDefault="00F67A82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536565" w14:paraId="2BC0BC73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2437" w14:textId="5B2C9E98" w:rsidR="00E017E7" w:rsidRPr="00AF2FA8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1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Zateplenie obvodových stien</w:t>
            </w:r>
            <w:r w:rsidR="00C001F7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0094A9A1" w14:textId="21962E7E" w:rsidR="00E017E7" w:rsidRPr="00AF2FA8" w:rsidRDefault="0092216D" w:rsidP="00E2191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</w:t>
            </w:r>
            <w:r w:rsidR="00432A1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obvodové</w:t>
            </w:r>
            <w:r w:rsidR="00FD076E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9016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steny </w:t>
            </w:r>
            <w:r w:rsidR="0065273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tvorené z ľahkého obvodového pláš</w:t>
            </w:r>
            <w:r w:rsidR="006741A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ťa 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odstránen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azbest</w:t>
            </w:r>
            <w:r w:rsidR="00D95718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ových častí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 vybudovanie nového </w:t>
            </w:r>
            <w:r w:rsidR="00FB56A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lášťa </w:t>
            </w:r>
            <w:r w:rsidR="001A69C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3017D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predsadený fasádny rámový systém kotvený k nosnej oceľovej konštrukcii budovy od strany exteriéru. Nad vstupom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vybudovať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novú markízu z bezpečnostného skla. Fasád</w:t>
            </w:r>
            <w:r w:rsidR="00744F4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u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oživ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iť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vertikálnymi farebnými pásmi  z dekoratívnych profilov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s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presah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om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aj do roviny pomedzi okná vo vybraných moduloch.</w:t>
            </w:r>
            <w:r w:rsidR="00A44B2C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BD4083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pájanie</w:t>
            </w:r>
            <w:r w:rsidR="00FE04D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panelov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je prekryté plochými dekoratívnymi omega profilmi šírky 130 mm, profily sú vo farbe fasády.</w:t>
            </w:r>
          </w:p>
          <w:p w14:paraId="6C7B21F3" w14:textId="38EF0C81" w:rsidR="00E2191C" w:rsidRPr="00AF2FA8" w:rsidRDefault="00E2191C" w:rsidP="00C0176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obvodové steny štítových fasád sa požaduje vyspravenie celého povrchu štítových fasád pred realizáciou KZS, </w:t>
            </w:r>
            <w:r w:rsidR="004A1510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zmene tvaru okien domurovanie parapetov, resp. odstránenie častí, ktoré sú nepotrebné. Na obvodové steny štítov zateplenie  na báze minerálnej vlny + sklotextilná mriežka. Povrch vonkajška</w:t>
            </w:r>
            <w:r w:rsidR="000F03EB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zložení silikónový základ + silikónová omietka, roztieraná štruktúra 2 mm.</w:t>
            </w:r>
          </w:p>
          <w:p w14:paraId="36F9E486" w14:textId="41F06DC1" w:rsidR="00F67A82" w:rsidRPr="00AF2FA8" w:rsidRDefault="00F67A82" w:rsidP="001140B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  <w:tr w:rsidR="00F67A82" w:rsidRPr="00536565" w14:paraId="59327B64" w14:textId="77777777" w:rsidTr="00337FDB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6477" w14:textId="37E31830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plochej strechy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B140FAF" w14:textId="4A427121" w:rsidR="00E57211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Výmena otvorových konštrukcií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30513D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7D3294E3" w14:textId="567D8499" w:rsidR="00A546E0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realizácii uvedených opatrení požaduje verejný obstarávateľ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tiež realizáciu prác (ako zateplenie atík, soklov, s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  <w:p w14:paraId="62C9B672" w14:textId="77777777" w:rsidR="00A546E0" w:rsidRPr="00536565" w:rsidRDefault="00A546E0" w:rsidP="00A546E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311F0F62" w14:textId="65079D89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termostatizácia vykurovacej sústavy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</w:t>
            </w:r>
            <w:r w:rsidR="00A468FD" w:rsidRPr="00536565" w:rsidDel="00BB498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ý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men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a 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ích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tel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ies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 nové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oceľové doskové </w:t>
            </w:r>
            <w:r w:rsidR="00FA0F1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vykurovacie telesá</w:t>
            </w:r>
            <w:r w:rsidR="001023A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 výmena rozvodov ÚK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F9DF1F4" w14:textId="3C0C14E8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B0C45E6" w14:textId="4EF5184B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rozsahu osadenia úsporných zariadení na všetkých výtokových armatúrach umývadiel a zníženia objemu vody používanej na splachovanie na všetkých toaletách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57F50F2" w14:textId="2D00B6B0" w:rsidR="00871F61" w:rsidRPr="00536565" w:rsidRDefault="00871F61" w:rsidP="00871F61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- 54a-</w:t>
            </w:r>
            <w:r w:rsidR="00D3475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123AF2CF" w14:textId="77777777" w:rsidR="006F1B63" w:rsidRPr="00536565" w:rsidRDefault="006F1B63" w:rsidP="006F1B63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7A09BDF7" w14:textId="2840C083" w:rsidR="00A546E0" w:rsidRPr="00536565" w:rsidRDefault="001023A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-54a-</w:t>
            </w:r>
            <w:r w:rsidR="008A490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F5688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Vymeniť rozvody elektrického vedenia, vymeniť rozvodné skrine. 135x pod parapetné zásuvky, 2- zásuvky na stenách 60x, Lampy 150x, + lampy 25x socialne, hlavný rozvádzač, podružný rozvádzač 1.N.P., 2.N.P.</w:t>
            </w:r>
          </w:p>
          <w:p w14:paraId="4D628FC6" w14:textId="32164065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850DD" w:rsidRPr="00536565" w14:paraId="1C3DA7F3" w14:textId="77777777" w:rsidTr="00337FDB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0EC50" w14:textId="77777777" w:rsidR="00F850DD" w:rsidRDefault="00F850DD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8A9A20E" w14:textId="1629D4C1" w:rsidR="00AF2FA8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DD3B56C" w14:textId="1DE3CAC0" w:rsidR="001A3D81" w:rsidRDefault="001A3D81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6E5EB69" w14:textId="77777777" w:rsidR="001A3D81" w:rsidRDefault="001A3D81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C51768C" w14:textId="66E6A089" w:rsidR="00AF2FA8" w:rsidRPr="00536565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57B1CEE2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1205EA6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3417C7C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Nocľaháreň </w:t>
            </w:r>
            <w:r w:rsidR="004F6EB7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Domov pre každého</w:t>
            </w:r>
          </w:p>
        </w:tc>
      </w:tr>
      <w:tr w:rsidR="005559C1" w:rsidRPr="00536565" w14:paraId="55480F01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0F57DE8F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4F6EB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</w:p>
        </w:tc>
      </w:tr>
      <w:tr w:rsidR="005559C1" w:rsidRPr="00536565" w14:paraId="6F3AF62E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560EDBE5" w:rsidR="005559C1" w:rsidRPr="00536565" w:rsidRDefault="004F6EB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Ivánska cesta 32</w:t>
            </w:r>
          </w:p>
        </w:tc>
      </w:tr>
      <w:tr w:rsidR="005559C1" w:rsidRPr="00536565" w14:paraId="452E3AD7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sk-SK"/>
              </w:rPr>
            </w:pPr>
          </w:p>
        </w:tc>
      </w:tr>
      <w:tr w:rsidR="005559C1" w:rsidRPr="00536565" w14:paraId="62E90FF2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559C1" w:rsidRPr="00536565" w14:paraId="34DCDA0E" w14:textId="77777777" w:rsidTr="002923E5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AEBA" w14:textId="7777777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5559C1" w:rsidRPr="00536565" w14:paraId="563C38E0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287A" w14:textId="3A585E45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6B254273" w14:textId="078ADEEE" w:rsidR="0030513D" w:rsidRPr="00536565" w:rsidRDefault="0030513D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- 70b-02 / Zateplenie strechy </w:t>
            </w:r>
            <w:r w:rsidR="00744F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na podlahe nepochôdznej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5973E42" w14:textId="6C6D434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559C1" w:rsidRPr="00536565" w14:paraId="52FDB4EF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7777777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559C1" w:rsidRPr="00536565" w14:paraId="6E2FEC50" w14:textId="77777777" w:rsidTr="002923E5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2175" w14:textId="19C86835" w:rsidR="004E6516" w:rsidRPr="00536565" w:rsidRDefault="005559C1" w:rsidP="004E6516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7844B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Pr="00536565" w:rsidDel="00E57573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Verejný obstarávateľ požaduje zrealizovanie rekonštrukcie existujúceho zdroja tepla pri zmene palivovej základne v prospech 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obnoviteľného </w:t>
            </w:r>
            <w:r w:rsidR="008338D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zdroja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energie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s využitím technológie</w:t>
            </w:r>
            <w:r w:rsidR="00996D7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tepelného čerpadla </w:t>
            </w:r>
            <w:r w:rsidR="00F1017E" w:rsidRPr="00536565" w:rsidDel="00025FAA">
              <w:rPr>
                <w:rFonts w:ascii="Cambria" w:hAnsi="Cambria" w:cs="Calibri"/>
                <w:sz w:val="20"/>
                <w:szCs w:val="20"/>
                <w:lang w:val="sk-SK"/>
              </w:rPr>
              <w:t xml:space="preserve">na báze vzduch – voda </w:t>
            </w:r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 bivalencii s elektrickým dohrevom a vybudovaním podlahového vykurovania a chladenia</w:t>
            </w:r>
            <w:r w:rsidR="00690D83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celého objektu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4329FFE7" w14:textId="55B18ECA" w:rsidR="000D2068" w:rsidRPr="00536565" w:rsidRDefault="000D2068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- 70b-0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00D7B463" w14:textId="17BFC269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</w:tc>
      </w:tr>
      <w:tr w:rsidR="005559C1" w:rsidRPr="00536565" w14:paraId="21F13EDA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BBAA" w14:textId="3292069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5559C1" w:rsidRPr="00536565" w14:paraId="3DD31D78" w14:textId="77777777" w:rsidTr="00A64538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5DF63F0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3AB814E1" w14:textId="77777777" w:rsidTr="00A64538">
        <w:trPr>
          <w:gridAfter w:val="1"/>
          <w:wAfter w:w="239" w:type="dxa"/>
          <w:trHeight w:val="64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5176" w14:textId="4BFBFC6A" w:rsidR="00CC0DE7" w:rsidRPr="00536565" w:rsidRDefault="00CC0DE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41CEEB" w14:textId="7E322E60" w:rsidR="005559C1" w:rsidRPr="00536565" w:rsidRDefault="005559C1">
      <w:pPr>
        <w:rPr>
          <w:rFonts w:ascii="Cambria" w:hAnsi="Cambria"/>
          <w:sz w:val="20"/>
          <w:szCs w:val="20"/>
        </w:rPr>
      </w:pPr>
    </w:p>
    <w:p w14:paraId="1F859D0E" w14:textId="77777777" w:rsidR="002923E5" w:rsidRPr="00536565" w:rsidRDefault="002923E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536565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23EFC763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Vrbenského </w:t>
            </w:r>
          </w:p>
        </w:tc>
      </w:tr>
      <w:tr w:rsidR="002923E5" w:rsidRPr="00536565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45B04A8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</w:p>
        </w:tc>
      </w:tr>
      <w:tr w:rsidR="002923E5" w:rsidRPr="00536565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0E4CB8A5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Vrbenského 1</w:t>
            </w:r>
          </w:p>
        </w:tc>
      </w:tr>
      <w:tr w:rsidR="002923E5" w:rsidRPr="00536565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2923E5" w:rsidRPr="00536565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536565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536565" w:rsidRDefault="002923E5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536565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384" w14:textId="1F6EB27B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E8B97F6" w14:textId="339F3D08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evykurovan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9FC648F" w14:textId="77777777" w:rsidR="00B11AC5" w:rsidRPr="00536565" w:rsidRDefault="002923E5" w:rsidP="00B11AC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B11AC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Výmena otvorových konštrukcií. Požaduje sa minimálne výmena tých otvorových konštrukcií, ktoré nespĺňajú normatívne požiadavky UW, max=1,7.</w:t>
            </w:r>
          </w:p>
          <w:p w14:paraId="5C519F9E" w14:textId="1368D239" w:rsidR="002923E5" w:rsidRPr="00536565" w:rsidRDefault="002923E5" w:rsidP="0011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536565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536565" w:rsidRDefault="002923E5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536565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5C1B125E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2923E5" w:rsidRPr="00536565" w14:paraId="007929A8" w14:textId="77777777" w:rsidTr="00EF6043">
        <w:trPr>
          <w:trHeight w:val="120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1035" w14:textId="19F5FC81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C1E2A3D" w14:textId="0A08C8CF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48117296" w14:textId="6A65C400" w:rsidR="00543F60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  <w:p w14:paraId="2AFB426A" w14:textId="77777777" w:rsidR="00916D71" w:rsidRPr="00536565" w:rsidRDefault="00916D7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9161D92" w14:textId="156E6B27" w:rsidR="00685751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2923E5" w:rsidRPr="00536565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536565" w:rsidRDefault="00EF6043" w:rsidP="00EF60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401C15" w14:textId="77777777" w:rsidR="009B2D81" w:rsidRPr="00536565" w:rsidRDefault="009B2D81">
      <w:pPr>
        <w:rPr>
          <w:rFonts w:ascii="Cambria" w:hAnsi="Cambria"/>
          <w:sz w:val="20"/>
          <w:szCs w:val="20"/>
        </w:rPr>
      </w:pPr>
    </w:p>
    <w:p w14:paraId="3FE196BE" w14:textId="77777777" w:rsidR="009B2D81" w:rsidRPr="00536565" w:rsidRDefault="009B2D8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536565" w14:paraId="5E7958AB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4C890910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>ZUŠ Daliborovo námestie</w:t>
            </w:r>
          </w:p>
        </w:tc>
      </w:tr>
      <w:tr w:rsidR="009B2D81" w:rsidRPr="00536565" w14:paraId="10785276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2F889259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</w:p>
        </w:tc>
      </w:tr>
      <w:tr w:rsidR="009B2D81" w:rsidRPr="00536565" w14:paraId="00F413A3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740947F1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Daliborovo námestie 2</w:t>
            </w:r>
          </w:p>
        </w:tc>
      </w:tr>
      <w:tr w:rsidR="009B2D81" w:rsidRPr="00536565" w14:paraId="0F7D6FEB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9B2D81" w:rsidRPr="00536565" w14:paraId="2C468083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536565" w:rsidRDefault="009B2D81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00A5C93B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FC2F30B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3C99D" w14:textId="598E3B1B" w:rsidR="00EA517F" w:rsidRPr="00536565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obvodových </w:t>
            </w:r>
            <w:r w:rsidR="005444A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stien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2AB81CE" w14:textId="1ACB7915" w:rsidR="00EA517F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0AF0CB43" w14:textId="32FED2D7" w:rsidR="004E1198" w:rsidRPr="004E1198" w:rsidRDefault="004E1198" w:rsidP="00543F60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4E1198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- 77-03 / Výmena otvorových konštrukcií. Požaduje sa minimálne výmena tých otvorových konštrukcií, ktoré nespĺňajú normatívne požiadavky UW, max=1,7. V prípade tejto budovy ide o jedno okno s rozmermi 2,5x3m.</w:t>
            </w:r>
          </w:p>
          <w:p w14:paraId="3EF88995" w14:textId="1BC7136C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3F60" w:rsidRPr="00536565" w14:paraId="6346C962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840" w14:textId="0C2B025C" w:rsidR="00543F60" w:rsidRPr="00536565" w:rsidRDefault="00543F60" w:rsidP="00543F6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43F60" w:rsidRPr="00536565" w14:paraId="36E0518D" w14:textId="77777777" w:rsidTr="00EA517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487E53AA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DA89170" w14:textId="43A73374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  <w:tr w:rsidR="00CF0912" w:rsidRPr="00536565" w14:paraId="6A7635D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891F" w14:textId="4947C668" w:rsidR="00CF0912" w:rsidRPr="00536565" w:rsidRDefault="00CF0912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536565" w14:paraId="352885D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5995" w14:textId="77777777" w:rsidR="00CF0912" w:rsidRPr="00536565" w:rsidRDefault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536565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02B676C5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536565" w:rsidRDefault="00EA517F">
      <w:pPr>
        <w:rPr>
          <w:rFonts w:ascii="Cambria" w:hAnsi="Cambria"/>
          <w:sz w:val="20"/>
          <w:szCs w:val="20"/>
        </w:rPr>
      </w:pPr>
    </w:p>
    <w:p w14:paraId="0607DCB1" w14:textId="77777777" w:rsidR="00EA517F" w:rsidRPr="00536565" w:rsidRDefault="00EA517F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536565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7D77A622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Exnárova</w:t>
            </w:r>
          </w:p>
        </w:tc>
      </w:tr>
      <w:tr w:rsidR="00EA517F" w:rsidRPr="00536565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072F34FC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</w:p>
        </w:tc>
      </w:tr>
      <w:tr w:rsidR="00EA517F" w:rsidRPr="00536565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2155D159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Exnárova 6A</w:t>
            </w:r>
          </w:p>
        </w:tc>
      </w:tr>
      <w:tr w:rsidR="00EA517F" w:rsidRPr="00536565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EA517F" w:rsidRPr="00536565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536565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5314E562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pôvodných budov a prístavby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D18F7C3" w14:textId="472B5A02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– sklobetónovej konštrukcie na spojovacej chodbe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2D942DC" w14:textId="21E5C8F6" w:rsidR="001F2B82" w:rsidRPr="00536565" w:rsidRDefault="001F2B82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536565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536565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6E27CF33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EA12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EA517F" w:rsidRPr="00536565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1354" w14:textId="0844DC8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69FF298" w14:textId="54CCEA6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3FE71C03" w14:textId="2714B863" w:rsidR="00916AAF" w:rsidRPr="00536565" w:rsidRDefault="00916AA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536565" w14:paraId="48FE6E75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BD41" w14:textId="714CAD5A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C35F9E9" w14:textId="1B0BAF0F" w:rsidR="00A13195" w:rsidRPr="00536565" w:rsidRDefault="00A1319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536565" w14:paraId="3472F235" w14:textId="77777777" w:rsidTr="00A13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34F60F0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Hálkova</w:t>
            </w:r>
          </w:p>
        </w:tc>
      </w:tr>
      <w:tr w:rsidR="00721B29" w:rsidRPr="00536565" w14:paraId="2976C181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3E66A806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</w:p>
        </w:tc>
      </w:tr>
      <w:tr w:rsidR="00721B29" w:rsidRPr="00536565" w14:paraId="3F487C0D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3739819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Hálkova 56</w:t>
            </w:r>
          </w:p>
        </w:tc>
      </w:tr>
      <w:tr w:rsidR="00721B29" w:rsidRPr="00536565" w14:paraId="0E96272E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3FE24C16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DBFF5A" w14:textId="77777777" w:rsidTr="00A1319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BEC2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195F1D09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588FC5CB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2F7E3FB7" w14:textId="10D0C015" w:rsidR="00721B29" w:rsidRPr="00536565" w:rsidRDefault="00721B29" w:rsidP="00A1319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4C1FB230" w14:textId="77777777" w:rsidTr="00A1319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5AB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314CFB28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1312CCE8" w:rsidR="00721B29" w:rsidRPr="00536565" w:rsidRDefault="00721B29" w:rsidP="00042539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80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2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B3709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 v</w:t>
            </w:r>
            <w:r w:rsidR="004A5140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ýmena vykurovacích telies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za </w:t>
            </w:r>
            <w:r w:rsidR="00D64EB4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nové 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oceľové doskové vykurovacie telesá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721B29" w:rsidRPr="00536565" w14:paraId="2625FD22" w14:textId="77777777" w:rsidTr="00A13195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6B7C9659" w:rsidR="00F850DD" w:rsidRPr="00536565" w:rsidRDefault="00721B29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F850DD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80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814EF1E" w14:textId="41B3776F" w:rsidR="00721B29" w:rsidRPr="00536565" w:rsidRDefault="00F850DD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- 80-0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37C4E1D9" w14:textId="3C677397" w:rsidR="00721B29" w:rsidRPr="00536565" w:rsidRDefault="00721B29" w:rsidP="00F850DD">
      <w:pPr>
        <w:tabs>
          <w:tab w:val="center" w:pos="4703"/>
        </w:tabs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F850DD" w:rsidRPr="00536565">
        <w:rPr>
          <w:rFonts w:ascii="Cambria" w:hAnsi="Cambria"/>
          <w:sz w:val="20"/>
          <w:szCs w:val="20"/>
        </w:rPr>
        <w:lastRenderedPageBreak/>
        <w:tab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721B29" w:rsidRPr="00536565" w14:paraId="50A2F631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6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C25" w14:textId="09066EE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Ľudovíta Rajtera</w:t>
            </w:r>
          </w:p>
        </w:tc>
      </w:tr>
      <w:tr w:rsidR="00721B29" w:rsidRPr="00536565" w14:paraId="489623FF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BF9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E97" w14:textId="27DF5B4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</w:p>
        </w:tc>
      </w:tr>
      <w:tr w:rsidR="00721B29" w:rsidRPr="00536565" w14:paraId="5F31916A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FDE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683" w14:textId="6265B9D9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Sklenárova 2</w:t>
            </w:r>
          </w:p>
        </w:tc>
      </w:tr>
      <w:tr w:rsidR="00721B29" w:rsidRPr="00536565" w14:paraId="277E7E79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7B2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78A1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7405D7CC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47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8AA091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B183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0449409E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BAF1" w14:textId="534BAAD6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83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69C6A232" w14:textId="06841F62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10993557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A8D2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796AF2AF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89577" w14:textId="1CEAB335" w:rsidR="00721B29" w:rsidRPr="00536565" w:rsidRDefault="00721B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71636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F30C59" w:rsidRPr="00536565" w14:paraId="20D32E71" w14:textId="77777777" w:rsidTr="00F30C59">
        <w:trPr>
          <w:trHeight w:val="58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9996C" w14:textId="18E5A352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51372602" w14:textId="725854A0" w:rsidR="00D00D84" w:rsidRPr="00536565" w:rsidRDefault="00F30C59" w:rsidP="00D00D84">
            <w:pPr>
              <w:rPr>
                <w:rFonts w:ascii="Cambria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536565" w:rsidDel="003449B8">
              <w:rPr>
                <w:rFonts w:ascii="Cambria" w:eastAsia="Times New Roman" w:hAnsi="Cambria"/>
                <w:sz w:val="20"/>
                <w:szCs w:val="20"/>
                <w:lang w:val="sk-SK"/>
              </w:rPr>
              <w:t>Rekonštrukcia zdroja tepla.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</w:t>
            </w:r>
            <w:r w:rsidR="00C51A3F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(zemný plyn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) s využitím technológie </w:t>
            </w:r>
            <w:r w:rsidR="00880E67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rámci podrobného opisu ponúkaného predmetu zákazky, ktorý uchádzač predkladá ako súčasť ponuky, uchádzač osobitne uvedie, akým spôsobom dospel k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navrhovaným výkonnostným parametrom zdroja tepla tak, aby zrekonštruovaný zdroj tepla pokryl potrebu tepla v budove po realizácii ostatných požadovaných opatrení.</w:t>
            </w:r>
          </w:p>
          <w:p w14:paraId="16ED188A" w14:textId="71DF5283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17E407C2" w14:textId="4BC6A767" w:rsidR="00134F40" w:rsidRPr="004E1198" w:rsidRDefault="004E1198" w:rsidP="004E1198">
      <w:pPr>
        <w:rPr>
          <w:rFonts w:ascii="Cambria" w:hAnsi="Cambria"/>
          <w:color w:val="FF0000"/>
          <w:sz w:val="20"/>
          <w:szCs w:val="20"/>
        </w:rPr>
      </w:pPr>
      <w:r w:rsidRPr="004E1198">
        <w:rPr>
          <w:rFonts w:ascii="Cambria" w:hAnsi="Cambria"/>
          <w:color w:val="FF0000"/>
          <w:sz w:val="20"/>
          <w:szCs w:val="20"/>
          <w:lang w:val="sk-SK"/>
        </w:rPr>
        <w:t xml:space="preserve">  - 83-06 / Výmena svetelných zdrojov (žiarovky za LED zdroje) v 61 žiarovkových svietidlách.</w:t>
      </w:r>
    </w:p>
    <w:p w14:paraId="01B947D7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134F40" w:rsidRPr="00536565" w14:paraId="22B6CDCB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19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0CB" w14:textId="2E4ED9CE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Radlinského</w:t>
            </w:r>
          </w:p>
        </w:tc>
      </w:tr>
      <w:tr w:rsidR="00134F40" w:rsidRPr="00536565" w14:paraId="163E0272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A9D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906" w14:textId="31BF2A45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</w:p>
        </w:tc>
      </w:tr>
      <w:tr w:rsidR="00134F40" w:rsidRPr="00536565" w14:paraId="1BB7B3D5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9C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A9B" w14:textId="6B101460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Radlinského 53</w:t>
            </w:r>
          </w:p>
        </w:tc>
      </w:tr>
      <w:tr w:rsidR="00134F40" w:rsidRPr="00536565" w14:paraId="62DC9D8C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CB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CCA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22F7D4E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E9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40AFF11C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5B6C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26F22355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A5D3" w14:textId="118E32FB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780363A5" w14:textId="6568D6F9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strechy medzi krokv</w:t>
            </w:r>
            <w:r w:rsidR="00F745C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ami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bez povrchovej úpravy</w:t>
            </w:r>
            <w:r w:rsidR="00C0008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512A289" w14:textId="7310974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344D81C9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4B3F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4DFF06B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2980" w14:textId="01180E00" w:rsidR="00F30C59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-03 / Inštalácia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meracích a komunikačných zariadení pre meranie, prenos a zaznamenávanie údajov o spotrebe energie a dosahovaných parametroch prevádzky budovy.</w:t>
            </w:r>
          </w:p>
        </w:tc>
      </w:tr>
    </w:tbl>
    <w:p w14:paraId="6C7191F0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34F40" w:rsidRPr="00536565" w14:paraId="1D47DD64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37F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AC6" w14:textId="5747C1DC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Júliusa Kowalského</w:t>
            </w:r>
          </w:p>
        </w:tc>
      </w:tr>
      <w:tr w:rsidR="00134F40" w:rsidRPr="00536565" w14:paraId="13E0D9A9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88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D5A" w14:textId="0DA2554D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</w:p>
        </w:tc>
      </w:tr>
      <w:tr w:rsidR="00134F40" w:rsidRPr="00536565" w14:paraId="0D4DB238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23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7DF" w14:textId="76E909CA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Šancová 39</w:t>
            </w:r>
          </w:p>
        </w:tc>
      </w:tr>
      <w:tr w:rsidR="00134F40" w:rsidRPr="00536565" w14:paraId="135CB2B4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303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94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505C5146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B2B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180F44E3" w14:textId="77777777" w:rsidTr="00CB5BC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BF8D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5721F21B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88F1" w14:textId="217F61A8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4B689EE" w14:textId="3CB73085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strechy na podlahe nepochôdznej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F92A072" w14:textId="3144F00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7A559C70" w14:textId="77777777" w:rsidTr="00CB5BC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D498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2565DC52" w14:textId="77777777" w:rsidTr="00CB5BC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688D" w14:textId="3B08ACD4" w:rsidR="00D00D84" w:rsidRPr="00536565" w:rsidRDefault="00134F4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/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, vybudovanie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teplovodného vykurovacieho systému (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nových rozvodov tepla a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 oceľových doskových 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vykurovacích telies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vrátane termostatizácie a hydraulického vyregulovania novej sústavy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)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Verejný obstarávateľ požaduje zrealizovanie rekonštrukcie existujúceho zdroja tepla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pri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zachovaní existujúcej palivovej základne (zemný plyn) s využitím technológie kondenzačného kotla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Výkonnostné parametre zdroja tepla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a vykurovacieho systému (vrátane počtu a umiestnenia vykurovacích telies)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navrhne uchádzač tak, aby zrekonštruovaný zdroj tepla pokryl potrebu tepla v budove po realizácii ostatných požadovaných opatrení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a aby vykurovací systém zabezpečil tepelnú pohodu v objekte v zmysle 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Príloha k Vyhláške č. 152/2005 Z.z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Verejný obstarávateľ požaduje použitie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oceľových doskových vykurovacích telies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0F862626" w14:textId="26BCE46C" w:rsidR="001C053B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91575BA" w14:textId="5C211FB4" w:rsidR="00134F40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006B09DC" w14:textId="2A7E2B13" w:rsidR="00DB2DC1" w:rsidRPr="00536565" w:rsidRDefault="00DB2DC1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</w:tbl>
    <w:p w14:paraId="25B6C67B" w14:textId="2F5EE061" w:rsidR="00721B29" w:rsidRPr="00536565" w:rsidRDefault="00721B2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46229F" w:rsidRPr="00536565">
        <w:rPr>
          <w:rFonts w:ascii="Cambria" w:hAnsi="Cambria"/>
          <w:sz w:val="20"/>
          <w:szCs w:val="20"/>
        </w:rPr>
        <w:lastRenderedPageBreak/>
        <w:t xml:space="preserve"> 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4D1086C9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D6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AD3" w14:textId="2DC23F3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Gessayova</w:t>
            </w:r>
            <w:r w:rsidR="003811DB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8</w:t>
            </w:r>
          </w:p>
        </w:tc>
      </w:tr>
      <w:tr w:rsidR="003F2609" w:rsidRPr="00536565" w14:paraId="2AA64ABC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77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690" w14:textId="4BF2196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</w:p>
        </w:tc>
      </w:tr>
      <w:tr w:rsidR="003F2609" w:rsidRPr="00536565" w14:paraId="691D15ED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F85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743" w14:textId="073065E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Gessayova 8</w:t>
            </w:r>
          </w:p>
        </w:tc>
      </w:tr>
      <w:tr w:rsidR="003F2609" w:rsidRPr="00536565" w14:paraId="640F832A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4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8D6" w14:textId="57CD18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0CAC5720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1E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0419B19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0FAF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D075F64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BE7D" w14:textId="56E450C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8803D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odstránenia poškodení obvodových panelov a fasády na stykoch panelov.</w:t>
            </w:r>
          </w:p>
          <w:p w14:paraId="781C23A2" w14:textId="1A947F6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138F8DEB" w14:textId="02C922C2" w:rsidR="000D2068" w:rsidRPr="00536565" w:rsidRDefault="000D2068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- 89-0</w:t>
            </w:r>
            <w:r w:rsidR="00DD02C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Výmena otvorových konštrukcií.</w:t>
            </w:r>
            <w:r w:rsidR="00225FA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6A8FE314" w14:textId="3A4BC293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41F7C2C5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531A" w14:textId="517224F0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riadeniach budovy minimálne v nasledovnom rozsahu:</w:t>
            </w:r>
          </w:p>
        </w:tc>
      </w:tr>
      <w:tr w:rsidR="003F2609" w:rsidRPr="00536565" w14:paraId="6ACC42EA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3104" w14:textId="3468FF20" w:rsidR="003F2609" w:rsidRPr="00536565" w:rsidRDefault="003F26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3F2609" w:rsidRPr="00536565" w14:paraId="7E3FE10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E435" w14:textId="60F9C836" w:rsidR="000D2068" w:rsidRPr="00536565" w:rsidRDefault="003F2609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767CD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1B1C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. </w:t>
            </w:r>
          </w:p>
          <w:p w14:paraId="52736899" w14:textId="7DCA24E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30808CA6" w14:textId="3DF9053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392FEA64" w14:textId="6982A930" w:rsidR="003F2609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46D9E9AA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30D1" w14:textId="7208D72B" w:rsidR="00916D71" w:rsidRPr="004E1198" w:rsidRDefault="004E1198" w:rsidP="00916D71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4E1198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- 89-08 / Výmena rozvodov Teplej vody s cirkulačným potrubím s izoláciou podľa platných legislatívnych požiadaviek (rozsah približne 2x70m).</w:t>
            </w:r>
          </w:p>
          <w:p w14:paraId="1C0ADFFB" w14:textId="4B980C5F" w:rsidR="00916D71" w:rsidRDefault="00916D71" w:rsidP="00916D71">
            <w:pPr>
              <w:tabs>
                <w:tab w:val="left" w:pos="284"/>
              </w:tabs>
              <w:spacing w:line="276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7594E367" w14:textId="77777777" w:rsidR="000C0F9F" w:rsidRPr="000C0F9F" w:rsidRDefault="000C0F9F" w:rsidP="000C0F9F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6BE4CB1F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-89-101 / Rekonštrukcia vnútornej elektroinštalácie a ističov v rozsahu podľa poskytnutej projektovej dokumentácie aktuálneho stavu s použitím medených káblov. Prúdové zaťaženie rozvodov bude dimenzované nasledovne:</w:t>
            </w:r>
          </w:p>
          <w:p w14:paraId="435142E5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okruh osvetlenia podľa návrhu novej osvetľovacej sústavy zo strany uchádzača (opatrenie 89-06)</w:t>
            </w:r>
          </w:p>
          <w:p w14:paraId="1F8034EB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zásuvkové okruhy 16A</w:t>
            </w:r>
          </w:p>
          <w:p w14:paraId="147ADA2A" w14:textId="490B1C75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- samostatný okruh pre </w:t>
            </w:r>
            <w:proofErr w:type="spellStart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vypaľovaciu</w:t>
            </w:r>
            <w:proofErr w:type="spellEnd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 pec a hrnčiarsky kruh 25A.</w:t>
            </w:r>
          </w:p>
          <w:p w14:paraId="231F646B" w14:textId="77777777" w:rsidR="004E1198" w:rsidRPr="00536565" w:rsidRDefault="004E1198" w:rsidP="00916D71">
            <w:pPr>
              <w:tabs>
                <w:tab w:val="left" w:pos="284"/>
              </w:tabs>
              <w:spacing w:line="276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3733C38" w14:textId="3579C86D" w:rsidR="00DD02C0" w:rsidRPr="00536565" w:rsidRDefault="00DD02C0" w:rsidP="00DD02C0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324684A0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BA3C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1C12E85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2269ED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5AAFE9" w14:textId="77777777" w:rsidR="003F2609" w:rsidRPr="00536565" w:rsidRDefault="003F2609" w:rsidP="003F260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7F5D449B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774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49D" w14:textId="26C480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Orenburská</w:t>
            </w:r>
          </w:p>
        </w:tc>
      </w:tr>
      <w:tr w:rsidR="003F2609" w:rsidRPr="00536565" w14:paraId="6D880E8E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BE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DC9" w14:textId="04C9B3D6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</w:p>
        </w:tc>
      </w:tr>
      <w:tr w:rsidR="003F2609" w:rsidRPr="00536565" w14:paraId="22D88636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5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A8C" w14:textId="37892A7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Orenburská 31</w:t>
            </w:r>
          </w:p>
        </w:tc>
      </w:tr>
      <w:tr w:rsidR="003F2609" w:rsidRPr="00536565" w14:paraId="61EE12D9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881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4587" w14:textId="613FD97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4F891517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01A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EA97A7B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F583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E062346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9CFF" w14:textId="79FB541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225FA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objektov „A“ a „B“.</w:t>
            </w:r>
          </w:p>
          <w:p w14:paraId="099C747B" w14:textId="47FB471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4775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02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/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</w:t>
            </w:r>
            <w:r w:rsidR="009E7AD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nevykurovaného suterénu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22D46E8" w14:textId="01AEFD62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30A5C46E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40AF9" w14:textId="77777777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695CB3CB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A207" w14:textId="7A68CF5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1E98763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AFFD" w14:textId="0EF89650" w:rsidR="00DD02C0" w:rsidRPr="00536565" w:rsidRDefault="003F2609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Hydraulické vyregulovanie a termostatizácia vykurovacej sústavy. </w:t>
            </w:r>
          </w:p>
          <w:p w14:paraId="50BCAA5A" w14:textId="71AB25FE" w:rsidR="00D00D84" w:rsidRPr="00536565" w:rsidRDefault="00DD02C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Pr="00536565" w:rsidDel="001F4F6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tepla. Verejný obstarávateľ požaduje zrealizovanie rekonštrukcie existujúceho zdroja tepla pri zachovaní existujúcej palivovej základne (</w:t>
            </w:r>
            <w:r w:rsidR="000E4CFF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zemný plyn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) s využitím technológie </w:t>
            </w:r>
            <w:r w:rsidR="00660510" w:rsidRPr="00536565">
              <w:rPr>
                <w:rFonts w:ascii="Cambria" w:hAnsi="Cambria" w:cs="Calibri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651CF68C" w14:textId="4DDD848C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32B55C4" w14:textId="4632D1B1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46A5701" w14:textId="26A33D2F" w:rsidR="003F2609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</w:t>
            </w:r>
            <w:r w:rsidR="004A301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3EA0B85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995C" w14:textId="77777777" w:rsidR="00487441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  <w:r w:rsidR="0048744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34815ED" w14:textId="2CA69305" w:rsidR="00424320" w:rsidRPr="00536565" w:rsidRDefault="00487441" w:rsidP="000D0F0E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- 90-101 / Zabezpečenie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strechy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objektu </w:t>
            </w:r>
            <w:r w:rsidR="004761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„A“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proti zatekaniu</w:t>
            </w:r>
            <w:r w:rsidR="002B57B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- vymeniť asfaltový šindeľ na streche a vyspraviť strešné oplechovanie po zateplení</w:t>
            </w:r>
            <w:r w:rsidR="00BE1ACA" w:rsidRPr="00536565" w:rsidDel="006C7EC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77D57DF" w14:textId="363539F1" w:rsidR="00487441" w:rsidRPr="00536565" w:rsidRDefault="00487441" w:rsidP="00877C13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2578E2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44A9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C8D00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EE06A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3F47323" w14:textId="77777777" w:rsidR="003F2609" w:rsidRPr="00536565" w:rsidRDefault="003F2609" w:rsidP="003F260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17A4DFC7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C4B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EF2" w14:textId="072A83D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Ľudovíta Rajtera</w:t>
            </w:r>
          </w:p>
        </w:tc>
      </w:tr>
      <w:tr w:rsidR="003F2609" w:rsidRPr="00536565" w14:paraId="3AE40234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46B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F84" w14:textId="05702F2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92</w:t>
            </w:r>
          </w:p>
        </w:tc>
      </w:tr>
      <w:tr w:rsidR="003F2609" w:rsidRPr="00536565" w14:paraId="061983A5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A6B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96F" w14:textId="13776D66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Sklenárova 5</w:t>
            </w:r>
          </w:p>
        </w:tc>
      </w:tr>
      <w:tr w:rsidR="003F2609" w:rsidRPr="00536565" w14:paraId="34C0C188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0CE3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FED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1C9A07C1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509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917014D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A5761" w14:textId="0484926B" w:rsidR="003F2609" w:rsidRPr="00536565" w:rsidRDefault="004357D5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026D4AB7" w14:textId="77777777" w:rsidTr="00C8448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97E1" w14:textId="06B73A7E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39011A80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D40B" w14:textId="5F6EEB4B" w:rsidR="001C053B" w:rsidRPr="00536565" w:rsidRDefault="003F2609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0A4D8DE" w14:textId="3D45976E" w:rsidR="003F2609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30A2AAC" w14:textId="67C446C5" w:rsidR="004D725C" w:rsidRDefault="004D725C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728E4DB1" w14:textId="3C989D3B" w:rsidR="000C0F9F" w:rsidRPr="003C1645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3C1645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- 92-04 / Modernizácia systému vykurovania. Verejný obstarávateľ požaduje zrealizovanie rekonštrukcie existujúceho zdroja tepla pri zachovaní existujúcej palivovej základne (zemný plyn) s využitím technológie kondenzačných kotlov, výmenu existujúcich rozvodov tepla pre vykurovanie a výmenu existujúcich vykurovacích telies za oceľové doskové vykurovacie telesá (93ks) vrátane </w:t>
            </w:r>
            <w:proofErr w:type="spellStart"/>
            <w:r w:rsidRPr="003C1645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termostatizácie</w:t>
            </w:r>
            <w:proofErr w:type="spellEnd"/>
            <w:r w:rsidRPr="003C1645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a hydraulického vyregulovania novej sústavy.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 </w:t>
            </w:r>
          </w:p>
          <w:p w14:paraId="6FDBE2C2" w14:textId="77777777" w:rsidR="000C0F9F" w:rsidRPr="00536565" w:rsidRDefault="000C0F9F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C0A8622" w14:textId="77777777" w:rsidR="00C5488E" w:rsidRPr="00536565" w:rsidRDefault="00C5488E" w:rsidP="00C5488E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35D7F5E5" w14:textId="6984CC0E" w:rsidR="006814D1" w:rsidRPr="00536565" w:rsidRDefault="006814D1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</w:t>
            </w:r>
            <w:r w:rsidR="008F23F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8F23F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Vymeniť rozvody elektrického vedenia, vymeniť rozvodné skrine. 132x pod parapetné zásuvky, 2- zásuvky na stenách 60x, Lampy 148x, + lampy 21x, hlavný rozvádzač, podružný rozvádzač 1.N.P., 2.N.P.</w:t>
            </w:r>
          </w:p>
        </w:tc>
      </w:tr>
      <w:tr w:rsidR="003F2609" w:rsidRPr="00536565" w14:paraId="172D8A5F" w14:textId="77777777" w:rsidTr="0074239C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58AE0" w14:textId="069542B5" w:rsidR="004D725C" w:rsidRPr="00536565" w:rsidRDefault="004D725C" w:rsidP="008803DD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970267A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503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B650D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ED5C19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E80FCBF" w14:textId="05AB16C2" w:rsidR="00CC38E6" w:rsidRPr="00536565" w:rsidRDefault="00CC38E6" w:rsidP="003F2609">
      <w:pPr>
        <w:rPr>
          <w:rFonts w:ascii="Cambria" w:hAnsi="Cambria"/>
          <w:sz w:val="20"/>
          <w:szCs w:val="20"/>
        </w:rPr>
      </w:pPr>
    </w:p>
    <w:p w14:paraId="0F94C2C2" w14:textId="77777777" w:rsidR="00CC38E6" w:rsidRPr="00536565" w:rsidRDefault="00CC38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27705F65" w14:textId="77777777" w:rsidTr="007065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AC2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F00" w14:textId="54EF73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Resocializačné stredisko Retest</w:t>
            </w:r>
          </w:p>
        </w:tc>
      </w:tr>
      <w:tr w:rsidR="00CC38E6" w:rsidRPr="00536565" w14:paraId="65F5841C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89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DA6" w14:textId="4F07C4AF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</w:p>
        </w:tc>
      </w:tr>
      <w:tr w:rsidR="00CC38E6" w:rsidRPr="00536565" w14:paraId="2815EC8B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B36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5D1" w14:textId="0398F1A8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Ľadová 11</w:t>
            </w:r>
          </w:p>
        </w:tc>
      </w:tr>
      <w:tr w:rsidR="00CC38E6" w:rsidRPr="00536565" w14:paraId="0B3B0AF9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4D43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E91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481A2185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05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59E29D52" w14:textId="77777777" w:rsidTr="007065F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C768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38314DC9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49FF" w14:textId="4EA96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</w:t>
            </w:r>
            <w:r w:rsidR="00B769C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</w:t>
            </w:r>
            <w:r w:rsidR="004C20D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podlahy nad vonkajším priestorom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okrem obvodovej steny zo strany, ktorá musí ostať zachovaná</w:t>
            </w:r>
            <w:r w:rsidR="00381BE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 dôvodu pamiatkového charakteru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6B5BB77" w14:textId="452469D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strechy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  <w:r w:rsidRPr="00536565" w:rsidDel="00792BB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74E5996C" w14:textId="4A1F4E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6B8F9A9" w14:textId="061E75A5" w:rsidR="006C7E4A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-04 / Zateplenie 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stropu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nevykurovan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73BB23B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52AF7084" w14:textId="77777777" w:rsidTr="007065F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F561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09C1D1A7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8E6D" w14:textId="5CF9DC29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CC38E6" w:rsidRPr="00536565" w14:paraId="6DFA9797" w14:textId="77777777" w:rsidTr="007065F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B647" w14:textId="599E252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7E1CA7D6" w14:textId="788008A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C5FB048" w14:textId="3795C78A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F84BF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424ADDFE" w14:textId="77777777" w:rsidTr="00715CF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932F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Okrem opatrení na zlepšenie energetickej efektívnosti požaduje verejný obstarávateľ zrealizovať tiež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nasledovné opatrenia (tieto opatrenia budú zahrnuté do zmluvy o dielo):</w:t>
            </w:r>
          </w:p>
          <w:p w14:paraId="02A77432" w14:textId="1B80F60C" w:rsidR="00986453" w:rsidRPr="00536565" w:rsidRDefault="00894513" w:rsidP="00986453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- 61-101 /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multisplitového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chlad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iaceho zariadenia </w:t>
            </w:r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pre 7 miestností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1412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podkrovných využívaných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vnútorných priestoro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</w:t>
            </w:r>
            <w:r w:rsidR="00B34BF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</w:t>
            </w:r>
            <w:r w:rsidR="00515F4B" w:rsidRPr="00536565">
              <w:rPr>
                <w:rFonts w:ascii="Cambria" w:hAnsi="Cambria" w:cs="Calibri"/>
                <w:sz w:val="20"/>
                <w:szCs w:val="20"/>
                <w:lang w:val="sk-SK"/>
              </w:rPr>
              <w:t>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navrhne uchádzač tak, aby zrekonštruovaný zdroj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7 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miestností v podkrovných priestoroch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budov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y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tak, aby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tento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zdroj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366D4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chladu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 budove po realizácii ostatných požadovaných opatrení.</w:t>
            </w:r>
          </w:p>
          <w:tbl>
            <w:tblPr>
              <w:tblW w:w="7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396"/>
              <w:gridCol w:w="4667"/>
            </w:tblGrid>
            <w:tr w:rsidR="0022696C" w:rsidRPr="00536565" w14:paraId="78CE94F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B5B14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Miestnosť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1E988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Objem (m3)</w:t>
                  </w:r>
                </w:p>
              </w:tc>
              <w:tc>
                <w:tcPr>
                  <w:tcW w:w="4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8C306" w14:textId="106267F2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Počet strešných okien </w:t>
                  </w:r>
                  <w:r w:rsidR="00C056B9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v miestnosti </w:t>
                  </w: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(1,34 m x 0,72 m)</w:t>
                  </w:r>
                </w:p>
              </w:tc>
            </w:tr>
            <w:tr w:rsidR="006C3948" w:rsidRPr="00536565" w14:paraId="67959BC7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6DB7C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EE203" w14:textId="66D9AE5F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28,6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16F4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3BDCE9D4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5FD9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EF4C2" w14:textId="480363BA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53,6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07B0A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7AD8D28F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33086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95B9A" w14:textId="7D13C89E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35,</w:t>
                  </w:r>
                  <w:r w:rsidR="00CE1601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BCB09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2E2256F9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2C44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4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12CF7" w14:textId="55C2DF18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5,0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6D0BB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7F3981F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F5B68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9387" w14:textId="2FF5852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33,1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2678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54CDF09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B290F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2FFEF" w14:textId="50AE69A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32,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16BB5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169760B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2E781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lastRenderedPageBreak/>
                    <w:t>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8313B" w14:textId="4E17AE11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51,5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57788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639DBE3A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25AD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Spolu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D30B8" w14:textId="21D841F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249,</w:t>
                  </w:r>
                  <w:r w:rsidR="00D41535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7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2D8A3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12</w:t>
                  </w:r>
                </w:p>
              </w:tc>
            </w:tr>
          </w:tbl>
          <w:p w14:paraId="3591E155" w14:textId="7114648C" w:rsidR="001E5E36" w:rsidRPr="00536565" w:rsidRDefault="00861509" w:rsidP="003F0EFE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- 61</w:t>
            </w:r>
            <w:r w:rsidR="001E5E3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-102 /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R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ealiz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ovať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rekonštrukcie elektroinštalácií v celej budove, nakoľko vyhadzujú poistky. </w:t>
            </w:r>
          </w:p>
          <w:p w14:paraId="3436FFE2" w14:textId="77777777" w:rsidR="00B91352" w:rsidRPr="00536565" w:rsidRDefault="003F0EFE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Počet zásuviek v budove: 105</w:t>
            </w:r>
          </w:p>
          <w:p w14:paraId="2756F820" w14:textId="3EFF08DB" w:rsidR="0039370C" w:rsidRPr="00536565" w:rsidRDefault="00861509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3F0EF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očet vypínačov v budove: 89</w:t>
            </w:r>
          </w:p>
          <w:p w14:paraId="4196691A" w14:textId="23047214" w:rsidR="00986453" w:rsidRPr="00536565" w:rsidRDefault="00A3454A" w:rsidP="0084494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264FC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61-103 /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Inštalácia alternatívneho zdroja tepla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existujúceho tepelného čerpadla</w:t>
            </w:r>
            <w:r w:rsidR="00A87B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kogeneračnej jednotky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rámci bivalencie s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využitím akumulácie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nádrž je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priestoroch pivnice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Teplo sa bude cez riadiaci systém čerpať priamo z</w:t>
            </w:r>
            <w:r w:rsidR="00BC1F6C"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akumulačnej nádrže do vykurovacieho systému.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TUV sa bude vyrábať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zásobníku teplej vody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napojením na akumuláciu 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prípade potreby ako špičkový zdroj bude na výrobu TUV slúžiť plynový kotol.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Existujúci 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plynový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kotol použiť v zapojení do systému ako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špičkový zdroj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Elektrická energia vyrobená v kogeneračnej jednotke bude použitá pre potreby objektu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Tepelná energia z tepelného čerpadla bude prostredníctvom</w:t>
            </w:r>
            <w:r w:rsidR="006814D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nového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doskového výmenníka odovzdávaná do akumulačnej nádrže. Riadi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ci systém bude reagovať na potrebu tepla od jednotlivých zdrojov a potrebu tepla do systému rozvodu do vykurovacích telies a do zásobníka TUV.</w:t>
            </w:r>
          </w:p>
        </w:tc>
      </w:tr>
      <w:tr w:rsidR="00CC38E6" w:rsidRPr="00536565" w14:paraId="2D66F472" w14:textId="77777777" w:rsidTr="007065F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624D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1BC9666" w14:textId="16C4E584" w:rsidR="00E87431" w:rsidRPr="00536565" w:rsidRDefault="00E87431">
      <w:pPr>
        <w:rPr>
          <w:rFonts w:ascii="Cambria" w:hAnsi="Cambria"/>
          <w:sz w:val="20"/>
          <w:szCs w:val="20"/>
        </w:rPr>
      </w:pPr>
    </w:p>
    <w:p w14:paraId="1AA5B0C7" w14:textId="77777777" w:rsidR="00E87431" w:rsidRPr="00536565" w:rsidRDefault="00E8743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018B0344" w14:textId="77777777" w:rsidTr="003418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752" w14:textId="2FAEFBEC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C64" w14:textId="3366E70E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Jozefa Kresánka – elokované pracovisko</w:t>
            </w:r>
          </w:p>
        </w:tc>
      </w:tr>
      <w:tr w:rsidR="00CC38E6" w:rsidRPr="00536565" w14:paraId="69EBBAF8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E4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014" w14:textId="5D35AD15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91</w:t>
            </w:r>
          </w:p>
        </w:tc>
      </w:tr>
      <w:tr w:rsidR="00CC38E6" w:rsidRPr="00536565" w14:paraId="2DA956AC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B81A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885" w14:textId="7AC6233C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Sekulská 3</w:t>
            </w:r>
          </w:p>
        </w:tc>
      </w:tr>
      <w:tr w:rsidR="00CC38E6" w:rsidRPr="00536565" w14:paraId="184B749B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BDB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801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22DD3FF3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30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0026AB2B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0B8C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10236C58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31AA" w14:textId="43F94D9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055B2493" w14:textId="1A9AC6E4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strechy.</w:t>
            </w:r>
          </w:p>
          <w:p w14:paraId="1496C6CA" w14:textId="15669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354BD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783786A8" w14:textId="725C937D" w:rsidR="00986453" w:rsidRPr="00536565" w:rsidRDefault="00986453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- 91-04 /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</w:t>
            </w:r>
            <w:r w:rsidR="00C350A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nevykurovaného suterénu.</w:t>
            </w:r>
          </w:p>
          <w:p w14:paraId="7754ED60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3577BF69" w14:textId="77777777" w:rsidTr="003418E6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382C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69AA7889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4BBE" w14:textId="75B33A20" w:rsidR="000F262A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8E60B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CC38E6" w:rsidRPr="00536565" w14:paraId="1D94F43A" w14:textId="77777777" w:rsidTr="003418E6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08AB" w14:textId="3D19FDE6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62DBD861" w14:textId="13F43AED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708F468" w14:textId="1059CF4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60BF0786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A725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  <w:p w14:paraId="766A229E" w14:textId="5123AD03" w:rsidR="00354BD5" w:rsidRPr="00536565" w:rsidRDefault="00354BD5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</w:tr>
    </w:tbl>
    <w:p w14:paraId="3E1AD5ED" w14:textId="5995887B" w:rsidR="008A638D" w:rsidRPr="00536565" w:rsidRDefault="00E9348C" w:rsidP="00E9348C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- 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9</w:t>
      </w:r>
      <w:r w:rsidR="001F3835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-10</w:t>
      </w:r>
      <w:r w:rsidR="00CF56D6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/ </w:t>
      </w:r>
      <w:r w:rsidR="00FB668D" w:rsidRPr="00536565">
        <w:rPr>
          <w:rFonts w:ascii="Cambria" w:eastAsia="Times New Roman" w:hAnsi="Cambria" w:cs="Calibri"/>
          <w:sz w:val="20"/>
          <w:szCs w:val="20"/>
          <w:lang w:val="sk-SK"/>
        </w:rPr>
        <w:t>R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ekonštrukcia vnútornej elektroinštalácie a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 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ističov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.</w:t>
      </w:r>
    </w:p>
    <w:p w14:paraId="268DB965" w14:textId="410435A4" w:rsidR="008A638D" w:rsidRPr="00536565" w:rsidRDefault="008A638D" w:rsidP="008A638D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zásuviek v budove: 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>48 ks</w:t>
      </w:r>
    </w:p>
    <w:p w14:paraId="77D27A59" w14:textId="009F0268" w:rsidR="00DD27F6" w:rsidRPr="00536565" w:rsidRDefault="008A638D" w:rsidP="002B03F9">
      <w:pPr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vypínačov v budove: </w:t>
      </w:r>
      <w:r w:rsidR="00E87C33" w:rsidRPr="00536565">
        <w:rPr>
          <w:rFonts w:ascii="Cambria" w:eastAsia="Times New Roman" w:hAnsi="Cambria" w:cs="Calibri"/>
          <w:sz w:val="20"/>
          <w:szCs w:val="20"/>
          <w:lang w:val="sk-SK"/>
        </w:rPr>
        <w:t>52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ks</w:t>
      </w:r>
    </w:p>
    <w:sectPr w:rsidR="00DD27F6" w:rsidRPr="00536565" w:rsidSect="005229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7B689" w14:textId="77777777" w:rsidR="00D9586A" w:rsidRDefault="00D9586A" w:rsidP="00DF03FE">
      <w:pPr>
        <w:spacing w:after="0" w:line="240" w:lineRule="auto"/>
      </w:pPr>
      <w:r>
        <w:separator/>
      </w:r>
    </w:p>
  </w:endnote>
  <w:endnote w:type="continuationSeparator" w:id="0">
    <w:p w14:paraId="47C1D4D4" w14:textId="77777777" w:rsidR="00D9586A" w:rsidRDefault="00D9586A" w:rsidP="00DF03FE">
      <w:pPr>
        <w:spacing w:after="0" w:line="240" w:lineRule="auto"/>
      </w:pPr>
      <w:r>
        <w:continuationSeparator/>
      </w:r>
    </w:p>
  </w:endnote>
  <w:endnote w:type="continuationNotice" w:id="1">
    <w:p w14:paraId="3400DA76" w14:textId="77777777" w:rsidR="00D9586A" w:rsidRDefault="00D95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E189D" w14:textId="77777777" w:rsidR="00EB5690" w:rsidRDefault="00EB56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BAD28" w14:textId="77777777" w:rsidR="00EB5690" w:rsidRDefault="00EB569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1E57B" w14:textId="77777777" w:rsidR="00EB5690" w:rsidRDefault="00EB56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E0EEC" w14:textId="77777777" w:rsidR="00D9586A" w:rsidRDefault="00D9586A" w:rsidP="00DF03FE">
      <w:pPr>
        <w:spacing w:after="0" w:line="240" w:lineRule="auto"/>
      </w:pPr>
      <w:r>
        <w:separator/>
      </w:r>
    </w:p>
  </w:footnote>
  <w:footnote w:type="continuationSeparator" w:id="0">
    <w:p w14:paraId="6A334F6E" w14:textId="77777777" w:rsidR="00D9586A" w:rsidRDefault="00D9586A" w:rsidP="00DF03FE">
      <w:pPr>
        <w:spacing w:after="0" w:line="240" w:lineRule="auto"/>
      </w:pPr>
      <w:r>
        <w:continuationSeparator/>
      </w:r>
    </w:p>
  </w:footnote>
  <w:footnote w:type="continuationNotice" w:id="1">
    <w:p w14:paraId="06355951" w14:textId="77777777" w:rsidR="00D9586A" w:rsidRDefault="00D95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C9243" w14:textId="77777777" w:rsidR="00EB5690" w:rsidRDefault="00EB569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0465" w14:textId="6625EB47" w:rsidR="00EB5690" w:rsidRPr="009A3B87" w:rsidRDefault="00EB5690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9A3B87">
      <w:rPr>
        <w:rFonts w:ascii="Cambria" w:hAnsi="Cambria"/>
        <w:b/>
        <w:noProof/>
        <w:sz w:val="20"/>
        <w:szCs w:val="20"/>
      </w:rPr>
      <w:t xml:space="preserve">Príloha B.1 Súťažných podkladov: </w:t>
    </w:r>
    <w:r w:rsidRPr="009A3B87">
      <w:rPr>
        <w:rFonts w:ascii="Cambria" w:hAnsi="Cambria"/>
        <w:b/>
        <w:noProof/>
        <w:sz w:val="20"/>
        <w:szCs w:val="20"/>
      </w:rPr>
      <w:tab/>
    </w:r>
  </w:p>
  <w:p w14:paraId="61D56391" w14:textId="0BA639AF" w:rsidR="00EB5690" w:rsidRPr="009A3B87" w:rsidRDefault="00EB5690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9A3B87">
      <w:rPr>
        <w:rFonts w:ascii="Cambria" w:hAnsi="Cambria"/>
        <w:b/>
        <w:noProof/>
        <w:sz w:val="20"/>
        <w:szCs w:val="20"/>
      </w:rPr>
      <w:t>Minimálny rozsah opatrení</w:t>
    </w:r>
  </w:p>
  <w:p w14:paraId="1E68C836" w14:textId="52599973" w:rsidR="00EB5690" w:rsidRPr="00516CE9" w:rsidRDefault="00EB5690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FDB96" w14:textId="77777777" w:rsidR="00EB5690" w:rsidRDefault="00EB56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5D0C"/>
    <w:rsid w:val="00016EAC"/>
    <w:rsid w:val="00017D01"/>
    <w:rsid w:val="00021098"/>
    <w:rsid w:val="00024CE2"/>
    <w:rsid w:val="00025DAC"/>
    <w:rsid w:val="00025FAA"/>
    <w:rsid w:val="00026154"/>
    <w:rsid w:val="000261D8"/>
    <w:rsid w:val="000262B4"/>
    <w:rsid w:val="0003122B"/>
    <w:rsid w:val="00034211"/>
    <w:rsid w:val="0003669D"/>
    <w:rsid w:val="000376A1"/>
    <w:rsid w:val="000421AB"/>
    <w:rsid w:val="00042539"/>
    <w:rsid w:val="0005344E"/>
    <w:rsid w:val="00053800"/>
    <w:rsid w:val="00054170"/>
    <w:rsid w:val="000564EA"/>
    <w:rsid w:val="00057E34"/>
    <w:rsid w:val="00060F69"/>
    <w:rsid w:val="000668E5"/>
    <w:rsid w:val="000707D7"/>
    <w:rsid w:val="000727F5"/>
    <w:rsid w:val="00073A8C"/>
    <w:rsid w:val="000741A3"/>
    <w:rsid w:val="00075559"/>
    <w:rsid w:val="00081F5B"/>
    <w:rsid w:val="00084E22"/>
    <w:rsid w:val="00086149"/>
    <w:rsid w:val="0009165D"/>
    <w:rsid w:val="00091C58"/>
    <w:rsid w:val="000923A8"/>
    <w:rsid w:val="00092CBF"/>
    <w:rsid w:val="0009394F"/>
    <w:rsid w:val="000950B4"/>
    <w:rsid w:val="0009627C"/>
    <w:rsid w:val="00096DD8"/>
    <w:rsid w:val="000A22ED"/>
    <w:rsid w:val="000A61F4"/>
    <w:rsid w:val="000A7C68"/>
    <w:rsid w:val="000B310B"/>
    <w:rsid w:val="000B38A2"/>
    <w:rsid w:val="000B4A2E"/>
    <w:rsid w:val="000B570E"/>
    <w:rsid w:val="000B65A4"/>
    <w:rsid w:val="000B70B5"/>
    <w:rsid w:val="000B7633"/>
    <w:rsid w:val="000B7EEF"/>
    <w:rsid w:val="000C065C"/>
    <w:rsid w:val="000C0F9F"/>
    <w:rsid w:val="000C1D61"/>
    <w:rsid w:val="000C34DE"/>
    <w:rsid w:val="000C402D"/>
    <w:rsid w:val="000C6D69"/>
    <w:rsid w:val="000C6FFF"/>
    <w:rsid w:val="000C7695"/>
    <w:rsid w:val="000C78F8"/>
    <w:rsid w:val="000D05EF"/>
    <w:rsid w:val="000D0F0E"/>
    <w:rsid w:val="000D2068"/>
    <w:rsid w:val="000D338F"/>
    <w:rsid w:val="000D5085"/>
    <w:rsid w:val="000E1795"/>
    <w:rsid w:val="000E1B6F"/>
    <w:rsid w:val="000E2FF2"/>
    <w:rsid w:val="000E4CFF"/>
    <w:rsid w:val="000E5CFC"/>
    <w:rsid w:val="000E6C01"/>
    <w:rsid w:val="000F03EB"/>
    <w:rsid w:val="000F262A"/>
    <w:rsid w:val="000F481E"/>
    <w:rsid w:val="00101169"/>
    <w:rsid w:val="00101D6A"/>
    <w:rsid w:val="001023A6"/>
    <w:rsid w:val="001053DD"/>
    <w:rsid w:val="00105D9B"/>
    <w:rsid w:val="001140B6"/>
    <w:rsid w:val="00114C64"/>
    <w:rsid w:val="00117A3B"/>
    <w:rsid w:val="0012051F"/>
    <w:rsid w:val="00121BEB"/>
    <w:rsid w:val="00123889"/>
    <w:rsid w:val="00124B32"/>
    <w:rsid w:val="00124CEB"/>
    <w:rsid w:val="0012510D"/>
    <w:rsid w:val="00127EF7"/>
    <w:rsid w:val="00130AED"/>
    <w:rsid w:val="0013157F"/>
    <w:rsid w:val="00132F5C"/>
    <w:rsid w:val="00134BEB"/>
    <w:rsid w:val="00134F40"/>
    <w:rsid w:val="001363AC"/>
    <w:rsid w:val="00137AFD"/>
    <w:rsid w:val="00143635"/>
    <w:rsid w:val="00143F03"/>
    <w:rsid w:val="00144EB5"/>
    <w:rsid w:val="00147757"/>
    <w:rsid w:val="00151729"/>
    <w:rsid w:val="0015398F"/>
    <w:rsid w:val="00154FDF"/>
    <w:rsid w:val="00155A3D"/>
    <w:rsid w:val="00155E14"/>
    <w:rsid w:val="001719F6"/>
    <w:rsid w:val="00175CB8"/>
    <w:rsid w:val="00177138"/>
    <w:rsid w:val="001801DF"/>
    <w:rsid w:val="00184200"/>
    <w:rsid w:val="001871D4"/>
    <w:rsid w:val="00190CB2"/>
    <w:rsid w:val="001932CA"/>
    <w:rsid w:val="0019357F"/>
    <w:rsid w:val="00197772"/>
    <w:rsid w:val="001A1C87"/>
    <w:rsid w:val="001A2376"/>
    <w:rsid w:val="001A351B"/>
    <w:rsid w:val="001A3D81"/>
    <w:rsid w:val="001A4BCB"/>
    <w:rsid w:val="001A69CB"/>
    <w:rsid w:val="001A7C07"/>
    <w:rsid w:val="001B1C60"/>
    <w:rsid w:val="001B257C"/>
    <w:rsid w:val="001B284A"/>
    <w:rsid w:val="001B2D20"/>
    <w:rsid w:val="001B559F"/>
    <w:rsid w:val="001B5DC8"/>
    <w:rsid w:val="001B6AC9"/>
    <w:rsid w:val="001C0314"/>
    <w:rsid w:val="001C053B"/>
    <w:rsid w:val="001C0D61"/>
    <w:rsid w:val="001C2590"/>
    <w:rsid w:val="001C353F"/>
    <w:rsid w:val="001C3D68"/>
    <w:rsid w:val="001C42D5"/>
    <w:rsid w:val="001C446A"/>
    <w:rsid w:val="001C546D"/>
    <w:rsid w:val="001D4CD4"/>
    <w:rsid w:val="001D51B1"/>
    <w:rsid w:val="001D5613"/>
    <w:rsid w:val="001D67D7"/>
    <w:rsid w:val="001E36DD"/>
    <w:rsid w:val="001E37B6"/>
    <w:rsid w:val="001E3814"/>
    <w:rsid w:val="001E3FEC"/>
    <w:rsid w:val="001E5E36"/>
    <w:rsid w:val="001E61E0"/>
    <w:rsid w:val="001E661A"/>
    <w:rsid w:val="001E78C7"/>
    <w:rsid w:val="001E7E0F"/>
    <w:rsid w:val="001F1676"/>
    <w:rsid w:val="001F2B82"/>
    <w:rsid w:val="001F3835"/>
    <w:rsid w:val="001F3C03"/>
    <w:rsid w:val="001F4F6B"/>
    <w:rsid w:val="00201A94"/>
    <w:rsid w:val="00206EF7"/>
    <w:rsid w:val="00207A80"/>
    <w:rsid w:val="00211692"/>
    <w:rsid w:val="00212F5F"/>
    <w:rsid w:val="00214126"/>
    <w:rsid w:val="00214DC8"/>
    <w:rsid w:val="00215DBA"/>
    <w:rsid w:val="0021740A"/>
    <w:rsid w:val="002204CD"/>
    <w:rsid w:val="002218D5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2F58"/>
    <w:rsid w:val="00234E00"/>
    <w:rsid w:val="00245D7D"/>
    <w:rsid w:val="00250116"/>
    <w:rsid w:val="002505A4"/>
    <w:rsid w:val="00253B81"/>
    <w:rsid w:val="00255B32"/>
    <w:rsid w:val="0025618E"/>
    <w:rsid w:val="00257BF2"/>
    <w:rsid w:val="00260260"/>
    <w:rsid w:val="00260567"/>
    <w:rsid w:val="002608CE"/>
    <w:rsid w:val="00263AC9"/>
    <w:rsid w:val="00264376"/>
    <w:rsid w:val="00264FC7"/>
    <w:rsid w:val="00270A16"/>
    <w:rsid w:val="00270DA3"/>
    <w:rsid w:val="0027135C"/>
    <w:rsid w:val="00273A17"/>
    <w:rsid w:val="0027446C"/>
    <w:rsid w:val="002762C0"/>
    <w:rsid w:val="0027749E"/>
    <w:rsid w:val="002801E5"/>
    <w:rsid w:val="00280364"/>
    <w:rsid w:val="002805C6"/>
    <w:rsid w:val="00280EA4"/>
    <w:rsid w:val="00284B52"/>
    <w:rsid w:val="00285BD3"/>
    <w:rsid w:val="00287CA8"/>
    <w:rsid w:val="002923E5"/>
    <w:rsid w:val="00292D04"/>
    <w:rsid w:val="00292DFC"/>
    <w:rsid w:val="00292F06"/>
    <w:rsid w:val="0029423E"/>
    <w:rsid w:val="00294F46"/>
    <w:rsid w:val="00295376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4107"/>
    <w:rsid w:val="002E6A59"/>
    <w:rsid w:val="002E725B"/>
    <w:rsid w:val="002F03A3"/>
    <w:rsid w:val="002F04DC"/>
    <w:rsid w:val="002F05B3"/>
    <w:rsid w:val="002F1E4D"/>
    <w:rsid w:val="002F2B17"/>
    <w:rsid w:val="002F56EC"/>
    <w:rsid w:val="003017D8"/>
    <w:rsid w:val="003037C4"/>
    <w:rsid w:val="0030513D"/>
    <w:rsid w:val="00305526"/>
    <w:rsid w:val="003059D4"/>
    <w:rsid w:val="00311E56"/>
    <w:rsid w:val="00312F4E"/>
    <w:rsid w:val="00314266"/>
    <w:rsid w:val="00314C72"/>
    <w:rsid w:val="00314FF8"/>
    <w:rsid w:val="00320F0C"/>
    <w:rsid w:val="0032265F"/>
    <w:rsid w:val="00322D55"/>
    <w:rsid w:val="003249CD"/>
    <w:rsid w:val="00326BD8"/>
    <w:rsid w:val="003274AA"/>
    <w:rsid w:val="00327C96"/>
    <w:rsid w:val="00331AFE"/>
    <w:rsid w:val="00334D11"/>
    <w:rsid w:val="00335192"/>
    <w:rsid w:val="0033652D"/>
    <w:rsid w:val="00337A85"/>
    <w:rsid w:val="00337FDB"/>
    <w:rsid w:val="0034111B"/>
    <w:rsid w:val="0034131E"/>
    <w:rsid w:val="003418E6"/>
    <w:rsid w:val="00342220"/>
    <w:rsid w:val="00342A50"/>
    <w:rsid w:val="003449B8"/>
    <w:rsid w:val="00354BD5"/>
    <w:rsid w:val="00355849"/>
    <w:rsid w:val="0036013F"/>
    <w:rsid w:val="00361F82"/>
    <w:rsid w:val="0036281B"/>
    <w:rsid w:val="00365641"/>
    <w:rsid w:val="00366D45"/>
    <w:rsid w:val="00367BB0"/>
    <w:rsid w:val="003701C8"/>
    <w:rsid w:val="00370B9E"/>
    <w:rsid w:val="00372B02"/>
    <w:rsid w:val="00372D07"/>
    <w:rsid w:val="00374017"/>
    <w:rsid w:val="003811DB"/>
    <w:rsid w:val="00381BE9"/>
    <w:rsid w:val="00381F00"/>
    <w:rsid w:val="00387974"/>
    <w:rsid w:val="00391136"/>
    <w:rsid w:val="00391395"/>
    <w:rsid w:val="0039370C"/>
    <w:rsid w:val="0039615D"/>
    <w:rsid w:val="00396222"/>
    <w:rsid w:val="003965CA"/>
    <w:rsid w:val="00396AEC"/>
    <w:rsid w:val="003971B8"/>
    <w:rsid w:val="003974CB"/>
    <w:rsid w:val="00397F7F"/>
    <w:rsid w:val="003A12D3"/>
    <w:rsid w:val="003A2518"/>
    <w:rsid w:val="003A3A74"/>
    <w:rsid w:val="003A3E31"/>
    <w:rsid w:val="003A5B25"/>
    <w:rsid w:val="003A5BCC"/>
    <w:rsid w:val="003A6FEE"/>
    <w:rsid w:val="003A7BB4"/>
    <w:rsid w:val="003B0CBE"/>
    <w:rsid w:val="003B1981"/>
    <w:rsid w:val="003B3ED9"/>
    <w:rsid w:val="003B52FD"/>
    <w:rsid w:val="003C1645"/>
    <w:rsid w:val="003C2572"/>
    <w:rsid w:val="003C3ADD"/>
    <w:rsid w:val="003C50F5"/>
    <w:rsid w:val="003C64E3"/>
    <w:rsid w:val="003D162D"/>
    <w:rsid w:val="003D17A3"/>
    <w:rsid w:val="003D7FF3"/>
    <w:rsid w:val="003E057C"/>
    <w:rsid w:val="003E25F8"/>
    <w:rsid w:val="003E6F58"/>
    <w:rsid w:val="003E746B"/>
    <w:rsid w:val="003F05B2"/>
    <w:rsid w:val="003F0EFE"/>
    <w:rsid w:val="003F2609"/>
    <w:rsid w:val="003F279C"/>
    <w:rsid w:val="003F2D0D"/>
    <w:rsid w:val="003F4311"/>
    <w:rsid w:val="003F4ED6"/>
    <w:rsid w:val="003F563B"/>
    <w:rsid w:val="003F5967"/>
    <w:rsid w:val="003F6B49"/>
    <w:rsid w:val="00411C5B"/>
    <w:rsid w:val="00412460"/>
    <w:rsid w:val="00413126"/>
    <w:rsid w:val="00413538"/>
    <w:rsid w:val="004138BE"/>
    <w:rsid w:val="00414C46"/>
    <w:rsid w:val="00414F25"/>
    <w:rsid w:val="00417D43"/>
    <w:rsid w:val="004230CF"/>
    <w:rsid w:val="00423FE7"/>
    <w:rsid w:val="00424320"/>
    <w:rsid w:val="00424E0C"/>
    <w:rsid w:val="004259C0"/>
    <w:rsid w:val="00427A5A"/>
    <w:rsid w:val="00430E72"/>
    <w:rsid w:val="00432A16"/>
    <w:rsid w:val="00433928"/>
    <w:rsid w:val="004339F9"/>
    <w:rsid w:val="00433CF2"/>
    <w:rsid w:val="004347E5"/>
    <w:rsid w:val="004357D5"/>
    <w:rsid w:val="00440B35"/>
    <w:rsid w:val="00441C2E"/>
    <w:rsid w:val="00442CE7"/>
    <w:rsid w:val="00443391"/>
    <w:rsid w:val="0044669F"/>
    <w:rsid w:val="004506B3"/>
    <w:rsid w:val="00451BED"/>
    <w:rsid w:val="00452A47"/>
    <w:rsid w:val="00457D6A"/>
    <w:rsid w:val="00460C14"/>
    <w:rsid w:val="00461070"/>
    <w:rsid w:val="0046229F"/>
    <w:rsid w:val="004715B1"/>
    <w:rsid w:val="0047614B"/>
    <w:rsid w:val="00477656"/>
    <w:rsid w:val="00477B48"/>
    <w:rsid w:val="00485E32"/>
    <w:rsid w:val="00485E4B"/>
    <w:rsid w:val="004863DF"/>
    <w:rsid w:val="00486C25"/>
    <w:rsid w:val="00487441"/>
    <w:rsid w:val="00490722"/>
    <w:rsid w:val="0049390C"/>
    <w:rsid w:val="00493C51"/>
    <w:rsid w:val="0049496A"/>
    <w:rsid w:val="00494A36"/>
    <w:rsid w:val="0049506A"/>
    <w:rsid w:val="00496862"/>
    <w:rsid w:val="004A0965"/>
    <w:rsid w:val="004A1147"/>
    <w:rsid w:val="004A1510"/>
    <w:rsid w:val="004A1C5B"/>
    <w:rsid w:val="004A2173"/>
    <w:rsid w:val="004A282D"/>
    <w:rsid w:val="004A3018"/>
    <w:rsid w:val="004A5140"/>
    <w:rsid w:val="004A6406"/>
    <w:rsid w:val="004B4866"/>
    <w:rsid w:val="004B5DC9"/>
    <w:rsid w:val="004B6EBF"/>
    <w:rsid w:val="004C1A1F"/>
    <w:rsid w:val="004C20D1"/>
    <w:rsid w:val="004C22F3"/>
    <w:rsid w:val="004C3823"/>
    <w:rsid w:val="004C4A67"/>
    <w:rsid w:val="004C62D5"/>
    <w:rsid w:val="004C653F"/>
    <w:rsid w:val="004C7C16"/>
    <w:rsid w:val="004D2786"/>
    <w:rsid w:val="004D2CF7"/>
    <w:rsid w:val="004D3626"/>
    <w:rsid w:val="004D4E52"/>
    <w:rsid w:val="004D59BE"/>
    <w:rsid w:val="004D6D85"/>
    <w:rsid w:val="004D725C"/>
    <w:rsid w:val="004D7904"/>
    <w:rsid w:val="004E1198"/>
    <w:rsid w:val="004E327C"/>
    <w:rsid w:val="004E3B9B"/>
    <w:rsid w:val="004E3C4E"/>
    <w:rsid w:val="004E4367"/>
    <w:rsid w:val="004E4667"/>
    <w:rsid w:val="004E48EF"/>
    <w:rsid w:val="004E6516"/>
    <w:rsid w:val="004F2EF4"/>
    <w:rsid w:val="004F3272"/>
    <w:rsid w:val="004F6EB7"/>
    <w:rsid w:val="004F6FE5"/>
    <w:rsid w:val="004F7DE9"/>
    <w:rsid w:val="004F7F93"/>
    <w:rsid w:val="005000DA"/>
    <w:rsid w:val="0050034B"/>
    <w:rsid w:val="00501767"/>
    <w:rsid w:val="00501840"/>
    <w:rsid w:val="0050281A"/>
    <w:rsid w:val="005043D2"/>
    <w:rsid w:val="005061F6"/>
    <w:rsid w:val="005075BE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31F19"/>
    <w:rsid w:val="00532578"/>
    <w:rsid w:val="00533C1F"/>
    <w:rsid w:val="00536565"/>
    <w:rsid w:val="005403B8"/>
    <w:rsid w:val="00540A18"/>
    <w:rsid w:val="00540DCB"/>
    <w:rsid w:val="00543F60"/>
    <w:rsid w:val="005444A5"/>
    <w:rsid w:val="005449DF"/>
    <w:rsid w:val="00547BCF"/>
    <w:rsid w:val="00551D2A"/>
    <w:rsid w:val="00553E2E"/>
    <w:rsid w:val="00554C77"/>
    <w:rsid w:val="005559C1"/>
    <w:rsid w:val="00556C78"/>
    <w:rsid w:val="0056139D"/>
    <w:rsid w:val="00562021"/>
    <w:rsid w:val="00564152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FD2"/>
    <w:rsid w:val="0058426A"/>
    <w:rsid w:val="00587070"/>
    <w:rsid w:val="005900FF"/>
    <w:rsid w:val="0059021A"/>
    <w:rsid w:val="00590C77"/>
    <w:rsid w:val="005932AA"/>
    <w:rsid w:val="00593912"/>
    <w:rsid w:val="005942FF"/>
    <w:rsid w:val="005A28D7"/>
    <w:rsid w:val="005A2F2C"/>
    <w:rsid w:val="005B1726"/>
    <w:rsid w:val="005B4ED4"/>
    <w:rsid w:val="005B6AD9"/>
    <w:rsid w:val="005C1E19"/>
    <w:rsid w:val="005C37A8"/>
    <w:rsid w:val="005C3E5F"/>
    <w:rsid w:val="005C40EE"/>
    <w:rsid w:val="005C6AFE"/>
    <w:rsid w:val="005C7512"/>
    <w:rsid w:val="005C7813"/>
    <w:rsid w:val="005D0DD6"/>
    <w:rsid w:val="005D0E35"/>
    <w:rsid w:val="005D183F"/>
    <w:rsid w:val="005D2E63"/>
    <w:rsid w:val="005D5329"/>
    <w:rsid w:val="005D62D2"/>
    <w:rsid w:val="005E0853"/>
    <w:rsid w:val="005E23C5"/>
    <w:rsid w:val="005E2C31"/>
    <w:rsid w:val="005E3BC5"/>
    <w:rsid w:val="005E474A"/>
    <w:rsid w:val="005E48D1"/>
    <w:rsid w:val="005E5117"/>
    <w:rsid w:val="005F3AFA"/>
    <w:rsid w:val="00600F5F"/>
    <w:rsid w:val="00601315"/>
    <w:rsid w:val="00601998"/>
    <w:rsid w:val="00601A3A"/>
    <w:rsid w:val="00601F2B"/>
    <w:rsid w:val="00613D01"/>
    <w:rsid w:val="00617654"/>
    <w:rsid w:val="00617675"/>
    <w:rsid w:val="00617D66"/>
    <w:rsid w:val="00623169"/>
    <w:rsid w:val="00623184"/>
    <w:rsid w:val="0062350C"/>
    <w:rsid w:val="00623A30"/>
    <w:rsid w:val="00624D26"/>
    <w:rsid w:val="00624EAC"/>
    <w:rsid w:val="0062516A"/>
    <w:rsid w:val="00625A3F"/>
    <w:rsid w:val="006262C2"/>
    <w:rsid w:val="00627884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5752"/>
    <w:rsid w:val="00650F2A"/>
    <w:rsid w:val="00651DB0"/>
    <w:rsid w:val="0065273A"/>
    <w:rsid w:val="006530AC"/>
    <w:rsid w:val="00653C53"/>
    <w:rsid w:val="00660158"/>
    <w:rsid w:val="00660510"/>
    <w:rsid w:val="00660ADA"/>
    <w:rsid w:val="0066190C"/>
    <w:rsid w:val="00661DC5"/>
    <w:rsid w:val="00662002"/>
    <w:rsid w:val="0066341A"/>
    <w:rsid w:val="00664A8E"/>
    <w:rsid w:val="00665F5A"/>
    <w:rsid w:val="006663A3"/>
    <w:rsid w:val="006677AD"/>
    <w:rsid w:val="00670262"/>
    <w:rsid w:val="0067079A"/>
    <w:rsid w:val="00670B99"/>
    <w:rsid w:val="00670DF7"/>
    <w:rsid w:val="006711BE"/>
    <w:rsid w:val="006738DA"/>
    <w:rsid w:val="006741AA"/>
    <w:rsid w:val="00674782"/>
    <w:rsid w:val="0067552D"/>
    <w:rsid w:val="00681178"/>
    <w:rsid w:val="006814D1"/>
    <w:rsid w:val="00682BB6"/>
    <w:rsid w:val="00685751"/>
    <w:rsid w:val="00686826"/>
    <w:rsid w:val="00690BEC"/>
    <w:rsid w:val="00690D83"/>
    <w:rsid w:val="00693683"/>
    <w:rsid w:val="00696F50"/>
    <w:rsid w:val="006A17C5"/>
    <w:rsid w:val="006A1C57"/>
    <w:rsid w:val="006A667B"/>
    <w:rsid w:val="006A6B05"/>
    <w:rsid w:val="006B231C"/>
    <w:rsid w:val="006B2543"/>
    <w:rsid w:val="006B42C3"/>
    <w:rsid w:val="006B4B9F"/>
    <w:rsid w:val="006B4EF3"/>
    <w:rsid w:val="006B6E4C"/>
    <w:rsid w:val="006C074D"/>
    <w:rsid w:val="006C2156"/>
    <w:rsid w:val="006C222E"/>
    <w:rsid w:val="006C3948"/>
    <w:rsid w:val="006C497D"/>
    <w:rsid w:val="006C7E4A"/>
    <w:rsid w:val="006C7EC8"/>
    <w:rsid w:val="006D06A3"/>
    <w:rsid w:val="006D1CEC"/>
    <w:rsid w:val="006D3501"/>
    <w:rsid w:val="006E0A67"/>
    <w:rsid w:val="006E150E"/>
    <w:rsid w:val="006E3997"/>
    <w:rsid w:val="006E3DAE"/>
    <w:rsid w:val="006E64E2"/>
    <w:rsid w:val="006E7A0E"/>
    <w:rsid w:val="006E7CFD"/>
    <w:rsid w:val="006F11E6"/>
    <w:rsid w:val="006F1B63"/>
    <w:rsid w:val="006F4277"/>
    <w:rsid w:val="006F78C8"/>
    <w:rsid w:val="00702F82"/>
    <w:rsid w:val="007034C0"/>
    <w:rsid w:val="00703D15"/>
    <w:rsid w:val="00704935"/>
    <w:rsid w:val="007065FF"/>
    <w:rsid w:val="00711B7A"/>
    <w:rsid w:val="007125A4"/>
    <w:rsid w:val="00715CF2"/>
    <w:rsid w:val="00716363"/>
    <w:rsid w:val="00716379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32B97"/>
    <w:rsid w:val="00734E70"/>
    <w:rsid w:val="00734EC2"/>
    <w:rsid w:val="00735666"/>
    <w:rsid w:val="007356DF"/>
    <w:rsid w:val="0073665C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48CD"/>
    <w:rsid w:val="00744F4B"/>
    <w:rsid w:val="00745724"/>
    <w:rsid w:val="00747BE1"/>
    <w:rsid w:val="0075118A"/>
    <w:rsid w:val="007511DA"/>
    <w:rsid w:val="00751CC7"/>
    <w:rsid w:val="00754FE2"/>
    <w:rsid w:val="0075683E"/>
    <w:rsid w:val="007569A5"/>
    <w:rsid w:val="00756F7F"/>
    <w:rsid w:val="00761976"/>
    <w:rsid w:val="00763368"/>
    <w:rsid w:val="00763CF2"/>
    <w:rsid w:val="00767CD8"/>
    <w:rsid w:val="00770F4B"/>
    <w:rsid w:val="00772665"/>
    <w:rsid w:val="00773B9C"/>
    <w:rsid w:val="0077773F"/>
    <w:rsid w:val="00782287"/>
    <w:rsid w:val="007844BC"/>
    <w:rsid w:val="00785319"/>
    <w:rsid w:val="00790E72"/>
    <w:rsid w:val="00792BB0"/>
    <w:rsid w:val="007A0142"/>
    <w:rsid w:val="007B0C6D"/>
    <w:rsid w:val="007B2152"/>
    <w:rsid w:val="007B3942"/>
    <w:rsid w:val="007B4DE5"/>
    <w:rsid w:val="007B6FA6"/>
    <w:rsid w:val="007B724B"/>
    <w:rsid w:val="007B7FB7"/>
    <w:rsid w:val="007C012B"/>
    <w:rsid w:val="007C1272"/>
    <w:rsid w:val="007C1ECD"/>
    <w:rsid w:val="007C3609"/>
    <w:rsid w:val="007C3ADA"/>
    <w:rsid w:val="007C3CA4"/>
    <w:rsid w:val="007C53D4"/>
    <w:rsid w:val="007C6EEC"/>
    <w:rsid w:val="007D24C6"/>
    <w:rsid w:val="007D4E43"/>
    <w:rsid w:val="007D684D"/>
    <w:rsid w:val="007E01FC"/>
    <w:rsid w:val="007E27E1"/>
    <w:rsid w:val="007E466A"/>
    <w:rsid w:val="007E4BA0"/>
    <w:rsid w:val="007E5861"/>
    <w:rsid w:val="007E6DE4"/>
    <w:rsid w:val="007F60AE"/>
    <w:rsid w:val="008034F2"/>
    <w:rsid w:val="00803B35"/>
    <w:rsid w:val="00804F46"/>
    <w:rsid w:val="00810020"/>
    <w:rsid w:val="008100CA"/>
    <w:rsid w:val="0081032A"/>
    <w:rsid w:val="00811833"/>
    <w:rsid w:val="00815924"/>
    <w:rsid w:val="008170CD"/>
    <w:rsid w:val="008178A0"/>
    <w:rsid w:val="008217F4"/>
    <w:rsid w:val="00822968"/>
    <w:rsid w:val="00823A51"/>
    <w:rsid w:val="008242DB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405EE"/>
    <w:rsid w:val="0084183E"/>
    <w:rsid w:val="00841F19"/>
    <w:rsid w:val="00842054"/>
    <w:rsid w:val="00844206"/>
    <w:rsid w:val="00844942"/>
    <w:rsid w:val="00846853"/>
    <w:rsid w:val="0084707B"/>
    <w:rsid w:val="008471A5"/>
    <w:rsid w:val="008475F8"/>
    <w:rsid w:val="00850DEF"/>
    <w:rsid w:val="00851495"/>
    <w:rsid w:val="008532FE"/>
    <w:rsid w:val="00855867"/>
    <w:rsid w:val="00856F59"/>
    <w:rsid w:val="00857602"/>
    <w:rsid w:val="00860A58"/>
    <w:rsid w:val="00861509"/>
    <w:rsid w:val="00871F61"/>
    <w:rsid w:val="00873467"/>
    <w:rsid w:val="0087614E"/>
    <w:rsid w:val="00876A11"/>
    <w:rsid w:val="00877378"/>
    <w:rsid w:val="00877A66"/>
    <w:rsid w:val="00877C13"/>
    <w:rsid w:val="008803DD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513"/>
    <w:rsid w:val="008949D3"/>
    <w:rsid w:val="0089654F"/>
    <w:rsid w:val="00896690"/>
    <w:rsid w:val="008A1008"/>
    <w:rsid w:val="008A37FC"/>
    <w:rsid w:val="008A490C"/>
    <w:rsid w:val="008A638D"/>
    <w:rsid w:val="008A6EF5"/>
    <w:rsid w:val="008A7F59"/>
    <w:rsid w:val="008B1D10"/>
    <w:rsid w:val="008B2CFC"/>
    <w:rsid w:val="008B406D"/>
    <w:rsid w:val="008B4164"/>
    <w:rsid w:val="008B521C"/>
    <w:rsid w:val="008B6BDE"/>
    <w:rsid w:val="008B6E0B"/>
    <w:rsid w:val="008B7497"/>
    <w:rsid w:val="008C149A"/>
    <w:rsid w:val="008C1618"/>
    <w:rsid w:val="008D1BE5"/>
    <w:rsid w:val="008D2886"/>
    <w:rsid w:val="008D518C"/>
    <w:rsid w:val="008D5ED4"/>
    <w:rsid w:val="008D7A6F"/>
    <w:rsid w:val="008E60BD"/>
    <w:rsid w:val="008E6957"/>
    <w:rsid w:val="008F23F4"/>
    <w:rsid w:val="008F45EC"/>
    <w:rsid w:val="008F64B3"/>
    <w:rsid w:val="008F6FAF"/>
    <w:rsid w:val="008F70F4"/>
    <w:rsid w:val="008F77EC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216D"/>
    <w:rsid w:val="00924D29"/>
    <w:rsid w:val="00925410"/>
    <w:rsid w:val="00932154"/>
    <w:rsid w:val="0093219F"/>
    <w:rsid w:val="00932841"/>
    <w:rsid w:val="00933AB3"/>
    <w:rsid w:val="009340E7"/>
    <w:rsid w:val="009368DD"/>
    <w:rsid w:val="00941444"/>
    <w:rsid w:val="009438B2"/>
    <w:rsid w:val="00943DCB"/>
    <w:rsid w:val="00947525"/>
    <w:rsid w:val="0095090B"/>
    <w:rsid w:val="00950DDC"/>
    <w:rsid w:val="00950F0D"/>
    <w:rsid w:val="00951038"/>
    <w:rsid w:val="009513FA"/>
    <w:rsid w:val="00952741"/>
    <w:rsid w:val="00954C60"/>
    <w:rsid w:val="00957415"/>
    <w:rsid w:val="009614D3"/>
    <w:rsid w:val="00962120"/>
    <w:rsid w:val="00962837"/>
    <w:rsid w:val="00962C7B"/>
    <w:rsid w:val="00964EC7"/>
    <w:rsid w:val="00965819"/>
    <w:rsid w:val="00967B1F"/>
    <w:rsid w:val="009719F8"/>
    <w:rsid w:val="0097227C"/>
    <w:rsid w:val="009810C6"/>
    <w:rsid w:val="00985C80"/>
    <w:rsid w:val="00986453"/>
    <w:rsid w:val="00986BBA"/>
    <w:rsid w:val="009907B5"/>
    <w:rsid w:val="00991432"/>
    <w:rsid w:val="0099313D"/>
    <w:rsid w:val="00996D75"/>
    <w:rsid w:val="009A24B6"/>
    <w:rsid w:val="009A2FE6"/>
    <w:rsid w:val="009A3B87"/>
    <w:rsid w:val="009A406E"/>
    <w:rsid w:val="009B00D6"/>
    <w:rsid w:val="009B1470"/>
    <w:rsid w:val="009B1ACD"/>
    <w:rsid w:val="009B2D81"/>
    <w:rsid w:val="009B33D3"/>
    <w:rsid w:val="009B575F"/>
    <w:rsid w:val="009B7565"/>
    <w:rsid w:val="009C0406"/>
    <w:rsid w:val="009C2DED"/>
    <w:rsid w:val="009C67B5"/>
    <w:rsid w:val="009D1B05"/>
    <w:rsid w:val="009D2875"/>
    <w:rsid w:val="009D37C4"/>
    <w:rsid w:val="009D3B0B"/>
    <w:rsid w:val="009D4984"/>
    <w:rsid w:val="009D57E2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ADE"/>
    <w:rsid w:val="009F0E4E"/>
    <w:rsid w:val="009F2C0F"/>
    <w:rsid w:val="00A03AFF"/>
    <w:rsid w:val="00A04961"/>
    <w:rsid w:val="00A051C6"/>
    <w:rsid w:val="00A06BC4"/>
    <w:rsid w:val="00A07759"/>
    <w:rsid w:val="00A13195"/>
    <w:rsid w:val="00A14583"/>
    <w:rsid w:val="00A14AB1"/>
    <w:rsid w:val="00A155EF"/>
    <w:rsid w:val="00A16D90"/>
    <w:rsid w:val="00A216B4"/>
    <w:rsid w:val="00A33B7C"/>
    <w:rsid w:val="00A3411D"/>
    <w:rsid w:val="00A3454A"/>
    <w:rsid w:val="00A34BE8"/>
    <w:rsid w:val="00A418D4"/>
    <w:rsid w:val="00A4361E"/>
    <w:rsid w:val="00A44B2C"/>
    <w:rsid w:val="00A46065"/>
    <w:rsid w:val="00A468FD"/>
    <w:rsid w:val="00A46A1B"/>
    <w:rsid w:val="00A47E87"/>
    <w:rsid w:val="00A546E0"/>
    <w:rsid w:val="00A56CA2"/>
    <w:rsid w:val="00A61905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7540"/>
    <w:rsid w:val="00A87B51"/>
    <w:rsid w:val="00A90EDB"/>
    <w:rsid w:val="00A91734"/>
    <w:rsid w:val="00A93E21"/>
    <w:rsid w:val="00A94B8D"/>
    <w:rsid w:val="00A9572C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D9E"/>
    <w:rsid w:val="00AA5288"/>
    <w:rsid w:val="00AA6F1E"/>
    <w:rsid w:val="00AB55C0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3043"/>
    <w:rsid w:val="00AD74A6"/>
    <w:rsid w:val="00AE2834"/>
    <w:rsid w:val="00AE3516"/>
    <w:rsid w:val="00AE3D37"/>
    <w:rsid w:val="00AE4736"/>
    <w:rsid w:val="00AE4E89"/>
    <w:rsid w:val="00AE5BD5"/>
    <w:rsid w:val="00AE7548"/>
    <w:rsid w:val="00AF064D"/>
    <w:rsid w:val="00AF2E59"/>
    <w:rsid w:val="00AF2FA8"/>
    <w:rsid w:val="00B0081C"/>
    <w:rsid w:val="00B00C6F"/>
    <w:rsid w:val="00B00FC5"/>
    <w:rsid w:val="00B05CCE"/>
    <w:rsid w:val="00B1167A"/>
    <w:rsid w:val="00B11AC5"/>
    <w:rsid w:val="00B11DE8"/>
    <w:rsid w:val="00B13ECD"/>
    <w:rsid w:val="00B1521E"/>
    <w:rsid w:val="00B21988"/>
    <w:rsid w:val="00B22E34"/>
    <w:rsid w:val="00B2505D"/>
    <w:rsid w:val="00B250F9"/>
    <w:rsid w:val="00B30371"/>
    <w:rsid w:val="00B3141D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6A87"/>
    <w:rsid w:val="00B50CB3"/>
    <w:rsid w:val="00B51990"/>
    <w:rsid w:val="00B5244B"/>
    <w:rsid w:val="00B53632"/>
    <w:rsid w:val="00B54FC9"/>
    <w:rsid w:val="00B6073A"/>
    <w:rsid w:val="00B6302C"/>
    <w:rsid w:val="00B65543"/>
    <w:rsid w:val="00B66CF5"/>
    <w:rsid w:val="00B67DAB"/>
    <w:rsid w:val="00B73ABD"/>
    <w:rsid w:val="00B74969"/>
    <w:rsid w:val="00B7501A"/>
    <w:rsid w:val="00B75724"/>
    <w:rsid w:val="00B769CD"/>
    <w:rsid w:val="00B76D07"/>
    <w:rsid w:val="00B77005"/>
    <w:rsid w:val="00B7718A"/>
    <w:rsid w:val="00B8297C"/>
    <w:rsid w:val="00B87189"/>
    <w:rsid w:val="00B8777C"/>
    <w:rsid w:val="00B87B5A"/>
    <w:rsid w:val="00B91001"/>
    <w:rsid w:val="00B91352"/>
    <w:rsid w:val="00B925EE"/>
    <w:rsid w:val="00B9503B"/>
    <w:rsid w:val="00B95DDD"/>
    <w:rsid w:val="00B97681"/>
    <w:rsid w:val="00BA030E"/>
    <w:rsid w:val="00BA0E56"/>
    <w:rsid w:val="00BA2E01"/>
    <w:rsid w:val="00BA376D"/>
    <w:rsid w:val="00BA4BC1"/>
    <w:rsid w:val="00BA4BC6"/>
    <w:rsid w:val="00BA6525"/>
    <w:rsid w:val="00BA6526"/>
    <w:rsid w:val="00BB0310"/>
    <w:rsid w:val="00BB25A2"/>
    <w:rsid w:val="00BB3CF7"/>
    <w:rsid w:val="00BB4266"/>
    <w:rsid w:val="00BB498E"/>
    <w:rsid w:val="00BB7676"/>
    <w:rsid w:val="00BC1F6C"/>
    <w:rsid w:val="00BC2D48"/>
    <w:rsid w:val="00BC7B0E"/>
    <w:rsid w:val="00BD30E4"/>
    <w:rsid w:val="00BD37DA"/>
    <w:rsid w:val="00BD4083"/>
    <w:rsid w:val="00BD4317"/>
    <w:rsid w:val="00BE0BD7"/>
    <w:rsid w:val="00BE1154"/>
    <w:rsid w:val="00BE1ACA"/>
    <w:rsid w:val="00BE1F5F"/>
    <w:rsid w:val="00BE2FCE"/>
    <w:rsid w:val="00BE3DA2"/>
    <w:rsid w:val="00BE450D"/>
    <w:rsid w:val="00BE4762"/>
    <w:rsid w:val="00BE4B27"/>
    <w:rsid w:val="00BE762A"/>
    <w:rsid w:val="00BE7EAF"/>
    <w:rsid w:val="00BF07EF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ABD"/>
    <w:rsid w:val="00C12575"/>
    <w:rsid w:val="00C13050"/>
    <w:rsid w:val="00C14F40"/>
    <w:rsid w:val="00C1609E"/>
    <w:rsid w:val="00C16375"/>
    <w:rsid w:val="00C2253B"/>
    <w:rsid w:val="00C22D50"/>
    <w:rsid w:val="00C252A6"/>
    <w:rsid w:val="00C25626"/>
    <w:rsid w:val="00C256C2"/>
    <w:rsid w:val="00C348B4"/>
    <w:rsid w:val="00C34A13"/>
    <w:rsid w:val="00C350AC"/>
    <w:rsid w:val="00C3542C"/>
    <w:rsid w:val="00C35DBA"/>
    <w:rsid w:val="00C3648B"/>
    <w:rsid w:val="00C405E1"/>
    <w:rsid w:val="00C4327E"/>
    <w:rsid w:val="00C43350"/>
    <w:rsid w:val="00C459B2"/>
    <w:rsid w:val="00C46BF0"/>
    <w:rsid w:val="00C51A3F"/>
    <w:rsid w:val="00C5488E"/>
    <w:rsid w:val="00C5521E"/>
    <w:rsid w:val="00C558D2"/>
    <w:rsid w:val="00C575E5"/>
    <w:rsid w:val="00C62EED"/>
    <w:rsid w:val="00C64648"/>
    <w:rsid w:val="00C64E39"/>
    <w:rsid w:val="00C657F7"/>
    <w:rsid w:val="00C67197"/>
    <w:rsid w:val="00C67C7F"/>
    <w:rsid w:val="00C7061C"/>
    <w:rsid w:val="00C74A8B"/>
    <w:rsid w:val="00C75EAC"/>
    <w:rsid w:val="00C7651D"/>
    <w:rsid w:val="00C76B7C"/>
    <w:rsid w:val="00C80424"/>
    <w:rsid w:val="00C817AB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209A"/>
    <w:rsid w:val="00CA552C"/>
    <w:rsid w:val="00CA6A48"/>
    <w:rsid w:val="00CB04BD"/>
    <w:rsid w:val="00CB1128"/>
    <w:rsid w:val="00CB1E01"/>
    <w:rsid w:val="00CB2FAB"/>
    <w:rsid w:val="00CB3B6A"/>
    <w:rsid w:val="00CB3C06"/>
    <w:rsid w:val="00CB4335"/>
    <w:rsid w:val="00CB5BCF"/>
    <w:rsid w:val="00CB6BDB"/>
    <w:rsid w:val="00CB6C60"/>
    <w:rsid w:val="00CC0DE7"/>
    <w:rsid w:val="00CC19A6"/>
    <w:rsid w:val="00CC1B4B"/>
    <w:rsid w:val="00CC3189"/>
    <w:rsid w:val="00CC356E"/>
    <w:rsid w:val="00CC38E6"/>
    <w:rsid w:val="00CC3974"/>
    <w:rsid w:val="00CC4390"/>
    <w:rsid w:val="00CC5DF3"/>
    <w:rsid w:val="00CC77CE"/>
    <w:rsid w:val="00CD0E48"/>
    <w:rsid w:val="00CD183B"/>
    <w:rsid w:val="00CD23F9"/>
    <w:rsid w:val="00CD279C"/>
    <w:rsid w:val="00CD3AD9"/>
    <w:rsid w:val="00CD3EC1"/>
    <w:rsid w:val="00CD41F6"/>
    <w:rsid w:val="00CD6040"/>
    <w:rsid w:val="00CD76E6"/>
    <w:rsid w:val="00CE00AA"/>
    <w:rsid w:val="00CE09A6"/>
    <w:rsid w:val="00CE1601"/>
    <w:rsid w:val="00CE2D41"/>
    <w:rsid w:val="00CE2FEB"/>
    <w:rsid w:val="00CE30DD"/>
    <w:rsid w:val="00CE32F8"/>
    <w:rsid w:val="00CE33A2"/>
    <w:rsid w:val="00CE3FCF"/>
    <w:rsid w:val="00CE631C"/>
    <w:rsid w:val="00CF0912"/>
    <w:rsid w:val="00CF4418"/>
    <w:rsid w:val="00CF56D6"/>
    <w:rsid w:val="00CF5EB1"/>
    <w:rsid w:val="00D00D84"/>
    <w:rsid w:val="00D00EBC"/>
    <w:rsid w:val="00D01E51"/>
    <w:rsid w:val="00D025CD"/>
    <w:rsid w:val="00D02A9C"/>
    <w:rsid w:val="00D04122"/>
    <w:rsid w:val="00D070C8"/>
    <w:rsid w:val="00D0744B"/>
    <w:rsid w:val="00D074CB"/>
    <w:rsid w:val="00D10132"/>
    <w:rsid w:val="00D11E02"/>
    <w:rsid w:val="00D12906"/>
    <w:rsid w:val="00D14224"/>
    <w:rsid w:val="00D149F1"/>
    <w:rsid w:val="00D15C15"/>
    <w:rsid w:val="00D17F2B"/>
    <w:rsid w:val="00D2252C"/>
    <w:rsid w:val="00D23533"/>
    <w:rsid w:val="00D23E84"/>
    <w:rsid w:val="00D24709"/>
    <w:rsid w:val="00D2665D"/>
    <w:rsid w:val="00D27674"/>
    <w:rsid w:val="00D31643"/>
    <w:rsid w:val="00D31B58"/>
    <w:rsid w:val="00D3220E"/>
    <w:rsid w:val="00D3297A"/>
    <w:rsid w:val="00D32CAB"/>
    <w:rsid w:val="00D34750"/>
    <w:rsid w:val="00D37766"/>
    <w:rsid w:val="00D3798E"/>
    <w:rsid w:val="00D40D8F"/>
    <w:rsid w:val="00D41300"/>
    <w:rsid w:val="00D41535"/>
    <w:rsid w:val="00D42A1C"/>
    <w:rsid w:val="00D44343"/>
    <w:rsid w:val="00D44F1B"/>
    <w:rsid w:val="00D455A8"/>
    <w:rsid w:val="00D5188C"/>
    <w:rsid w:val="00D5403A"/>
    <w:rsid w:val="00D56FAE"/>
    <w:rsid w:val="00D6000C"/>
    <w:rsid w:val="00D62CD1"/>
    <w:rsid w:val="00D6419D"/>
    <w:rsid w:val="00D64EB4"/>
    <w:rsid w:val="00D654A2"/>
    <w:rsid w:val="00D65CC5"/>
    <w:rsid w:val="00D66DCF"/>
    <w:rsid w:val="00D66FD4"/>
    <w:rsid w:val="00D67CB8"/>
    <w:rsid w:val="00D67FF3"/>
    <w:rsid w:val="00D70DDA"/>
    <w:rsid w:val="00D725D7"/>
    <w:rsid w:val="00D736BD"/>
    <w:rsid w:val="00D73CA6"/>
    <w:rsid w:val="00D76127"/>
    <w:rsid w:val="00D76417"/>
    <w:rsid w:val="00D7643C"/>
    <w:rsid w:val="00D769FD"/>
    <w:rsid w:val="00D816A4"/>
    <w:rsid w:val="00D8626A"/>
    <w:rsid w:val="00D86DB4"/>
    <w:rsid w:val="00D907E8"/>
    <w:rsid w:val="00D90F22"/>
    <w:rsid w:val="00D91059"/>
    <w:rsid w:val="00D9172B"/>
    <w:rsid w:val="00D91B86"/>
    <w:rsid w:val="00D95718"/>
    <w:rsid w:val="00D9586A"/>
    <w:rsid w:val="00D96C16"/>
    <w:rsid w:val="00DA070F"/>
    <w:rsid w:val="00DA166D"/>
    <w:rsid w:val="00DA51DE"/>
    <w:rsid w:val="00DA5BAB"/>
    <w:rsid w:val="00DB01CF"/>
    <w:rsid w:val="00DB02D1"/>
    <w:rsid w:val="00DB0459"/>
    <w:rsid w:val="00DB121A"/>
    <w:rsid w:val="00DB257F"/>
    <w:rsid w:val="00DB2DC1"/>
    <w:rsid w:val="00DB3C4C"/>
    <w:rsid w:val="00DB56F0"/>
    <w:rsid w:val="00DB777A"/>
    <w:rsid w:val="00DB7E18"/>
    <w:rsid w:val="00DC0105"/>
    <w:rsid w:val="00DC0DD7"/>
    <w:rsid w:val="00DC129B"/>
    <w:rsid w:val="00DC15C5"/>
    <w:rsid w:val="00DC18A3"/>
    <w:rsid w:val="00DC1B22"/>
    <w:rsid w:val="00DC6733"/>
    <w:rsid w:val="00DD02C0"/>
    <w:rsid w:val="00DD27F6"/>
    <w:rsid w:val="00DD2FAC"/>
    <w:rsid w:val="00DD3E00"/>
    <w:rsid w:val="00DD78AA"/>
    <w:rsid w:val="00DE22ED"/>
    <w:rsid w:val="00DE2FA2"/>
    <w:rsid w:val="00DE472D"/>
    <w:rsid w:val="00DE4C70"/>
    <w:rsid w:val="00DE555F"/>
    <w:rsid w:val="00DF03FE"/>
    <w:rsid w:val="00DF0B17"/>
    <w:rsid w:val="00DF14EF"/>
    <w:rsid w:val="00DF209C"/>
    <w:rsid w:val="00DF232A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91E"/>
    <w:rsid w:val="00E05380"/>
    <w:rsid w:val="00E06239"/>
    <w:rsid w:val="00E062CB"/>
    <w:rsid w:val="00E06E03"/>
    <w:rsid w:val="00E16EB9"/>
    <w:rsid w:val="00E17004"/>
    <w:rsid w:val="00E2191C"/>
    <w:rsid w:val="00E22482"/>
    <w:rsid w:val="00E224A1"/>
    <w:rsid w:val="00E22CD0"/>
    <w:rsid w:val="00E2415A"/>
    <w:rsid w:val="00E24D49"/>
    <w:rsid w:val="00E24E1C"/>
    <w:rsid w:val="00E26C5D"/>
    <w:rsid w:val="00E27E11"/>
    <w:rsid w:val="00E309D5"/>
    <w:rsid w:val="00E32A22"/>
    <w:rsid w:val="00E344DC"/>
    <w:rsid w:val="00E425A5"/>
    <w:rsid w:val="00E42AC1"/>
    <w:rsid w:val="00E45548"/>
    <w:rsid w:val="00E4748D"/>
    <w:rsid w:val="00E50FB1"/>
    <w:rsid w:val="00E52DE9"/>
    <w:rsid w:val="00E5333A"/>
    <w:rsid w:val="00E54E45"/>
    <w:rsid w:val="00E56B57"/>
    <w:rsid w:val="00E57211"/>
    <w:rsid w:val="00E57573"/>
    <w:rsid w:val="00E620EC"/>
    <w:rsid w:val="00E625BE"/>
    <w:rsid w:val="00E62ED6"/>
    <w:rsid w:val="00E63BF1"/>
    <w:rsid w:val="00E725D9"/>
    <w:rsid w:val="00E73609"/>
    <w:rsid w:val="00E76716"/>
    <w:rsid w:val="00E80357"/>
    <w:rsid w:val="00E82E31"/>
    <w:rsid w:val="00E83746"/>
    <w:rsid w:val="00E86302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517F"/>
    <w:rsid w:val="00EA724E"/>
    <w:rsid w:val="00EA78FF"/>
    <w:rsid w:val="00EB20FE"/>
    <w:rsid w:val="00EB3194"/>
    <w:rsid w:val="00EB3CF5"/>
    <w:rsid w:val="00EB5690"/>
    <w:rsid w:val="00EB692E"/>
    <w:rsid w:val="00EC0636"/>
    <w:rsid w:val="00EC2307"/>
    <w:rsid w:val="00EC3E41"/>
    <w:rsid w:val="00EC5E07"/>
    <w:rsid w:val="00EC77E2"/>
    <w:rsid w:val="00ED3548"/>
    <w:rsid w:val="00ED3982"/>
    <w:rsid w:val="00ED5AF1"/>
    <w:rsid w:val="00ED7130"/>
    <w:rsid w:val="00ED7733"/>
    <w:rsid w:val="00EE1C45"/>
    <w:rsid w:val="00EE24B4"/>
    <w:rsid w:val="00EE400E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34DA"/>
    <w:rsid w:val="00F039F1"/>
    <w:rsid w:val="00F03E02"/>
    <w:rsid w:val="00F0479A"/>
    <w:rsid w:val="00F05809"/>
    <w:rsid w:val="00F06BF4"/>
    <w:rsid w:val="00F06C75"/>
    <w:rsid w:val="00F1017E"/>
    <w:rsid w:val="00F14E17"/>
    <w:rsid w:val="00F15E4F"/>
    <w:rsid w:val="00F16343"/>
    <w:rsid w:val="00F16E0A"/>
    <w:rsid w:val="00F17E7E"/>
    <w:rsid w:val="00F2154A"/>
    <w:rsid w:val="00F22E4D"/>
    <w:rsid w:val="00F23367"/>
    <w:rsid w:val="00F3016C"/>
    <w:rsid w:val="00F30C59"/>
    <w:rsid w:val="00F35F51"/>
    <w:rsid w:val="00F37F58"/>
    <w:rsid w:val="00F4053A"/>
    <w:rsid w:val="00F40863"/>
    <w:rsid w:val="00F41077"/>
    <w:rsid w:val="00F41205"/>
    <w:rsid w:val="00F41CD1"/>
    <w:rsid w:val="00F43A12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17D7"/>
    <w:rsid w:val="00F65904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45C4"/>
    <w:rsid w:val="00F75633"/>
    <w:rsid w:val="00F815CE"/>
    <w:rsid w:val="00F8346C"/>
    <w:rsid w:val="00F84BF7"/>
    <w:rsid w:val="00F850DD"/>
    <w:rsid w:val="00F92345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229F"/>
    <w:rsid w:val="00FC3B25"/>
    <w:rsid w:val="00FC4A8B"/>
    <w:rsid w:val="00FC6EB7"/>
    <w:rsid w:val="00FC71E1"/>
    <w:rsid w:val="00FD076E"/>
    <w:rsid w:val="00FD07E6"/>
    <w:rsid w:val="00FD3B42"/>
    <w:rsid w:val="00FD3ED1"/>
    <w:rsid w:val="00FD45EC"/>
    <w:rsid w:val="00FD7084"/>
    <w:rsid w:val="00FD7247"/>
    <w:rsid w:val="00FD7DDE"/>
    <w:rsid w:val="00FE039D"/>
    <w:rsid w:val="00FE04D7"/>
    <w:rsid w:val="00FE17AB"/>
    <w:rsid w:val="00FE61B9"/>
    <w:rsid w:val="00FE6D6B"/>
    <w:rsid w:val="00FF11CD"/>
    <w:rsid w:val="00FF35E2"/>
    <w:rsid w:val="0187290B"/>
    <w:rsid w:val="01A2B753"/>
    <w:rsid w:val="02924DF3"/>
    <w:rsid w:val="0EFE0596"/>
    <w:rsid w:val="0F615FAB"/>
    <w:rsid w:val="11850C33"/>
    <w:rsid w:val="13696BC8"/>
    <w:rsid w:val="13C9EC9C"/>
    <w:rsid w:val="18914AEA"/>
    <w:rsid w:val="18C02A3F"/>
    <w:rsid w:val="1D942855"/>
    <w:rsid w:val="1DB14871"/>
    <w:rsid w:val="1EB8456F"/>
    <w:rsid w:val="1FBC957B"/>
    <w:rsid w:val="20CFCF91"/>
    <w:rsid w:val="23EA744D"/>
    <w:rsid w:val="245A4D5C"/>
    <w:rsid w:val="25F76BE1"/>
    <w:rsid w:val="2819436C"/>
    <w:rsid w:val="2A26D6A7"/>
    <w:rsid w:val="2A8F9CF8"/>
    <w:rsid w:val="2BDF9E12"/>
    <w:rsid w:val="2CEA672F"/>
    <w:rsid w:val="35236FFB"/>
    <w:rsid w:val="40B67229"/>
    <w:rsid w:val="4127312F"/>
    <w:rsid w:val="4178C8F3"/>
    <w:rsid w:val="470B44D2"/>
    <w:rsid w:val="47641A1B"/>
    <w:rsid w:val="48BB4FFA"/>
    <w:rsid w:val="4DB9DBC0"/>
    <w:rsid w:val="4DFA17BB"/>
    <w:rsid w:val="4F679AE7"/>
    <w:rsid w:val="4F91BE54"/>
    <w:rsid w:val="57106CED"/>
    <w:rsid w:val="5B894DF2"/>
    <w:rsid w:val="5D219CE9"/>
    <w:rsid w:val="5EDAB667"/>
    <w:rsid w:val="62773FA3"/>
    <w:rsid w:val="6EACB69C"/>
    <w:rsid w:val="6FDBEF85"/>
    <w:rsid w:val="71E16647"/>
    <w:rsid w:val="72D2C485"/>
    <w:rsid w:val="748C3ACA"/>
    <w:rsid w:val="76E0FB22"/>
    <w:rsid w:val="773AF077"/>
    <w:rsid w:val="787A482C"/>
    <w:rsid w:val="7880032D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B5381EDF-A6E9-4E39-9394-7C60956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E97D-16AF-412A-99D1-FD3B01D2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a6aa8c6c-6351-4010-95fa-0255eb4aa292"/>
  </ds:schemaRefs>
</ds:datastoreItem>
</file>

<file path=customXml/itemProps4.xml><?xml version="1.0" encoding="utf-8"?>
<ds:datastoreItem xmlns:ds="http://schemas.openxmlformats.org/officeDocument/2006/customXml" ds:itemID="{D4388FCA-2DB1-4DE1-A013-C915043A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5689</Words>
  <Characters>32430</Characters>
  <Application>Microsoft Office Word</Application>
  <DocSecurity>0</DocSecurity>
  <Lines>270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Roman Čambala</cp:lastModifiedBy>
  <cp:revision>4</cp:revision>
  <cp:lastPrinted>2019-10-15T09:02:00Z</cp:lastPrinted>
  <dcterms:created xsi:type="dcterms:W3CDTF">2020-02-09T15:06:00Z</dcterms:created>
  <dcterms:modified xsi:type="dcterms:W3CDTF">2020-04-20T10:35:00Z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