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2D0F0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2D0F0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2D0F0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2D0F0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2D0F0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2D0F0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2D0F0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2D0F0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2D0F0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39CC0863" w:rsidR="00133B55" w:rsidRPr="00BE5BF7" w:rsidRDefault="00133B55">
      <w:pPr>
        <w:pStyle w:val="Nadpis4"/>
      </w:pPr>
      <w:bookmarkStart w:id="241" w:name="_Ref4423000"/>
      <w:bookmarkEnd w:id="238"/>
      <w:r w:rsidRPr="00BE5BF7">
        <w:t xml:space="preserve">Lehota na predkladanie ponúk uplynie: </w:t>
      </w:r>
      <w:r w:rsidR="00054AB0">
        <w:rPr>
          <w:color w:val="FF0000"/>
        </w:rPr>
        <w:t>2</w:t>
      </w:r>
      <w:r w:rsidR="00B46F61">
        <w:rPr>
          <w:color w:val="FF0000"/>
        </w:rPr>
        <w:t>3</w:t>
      </w:r>
      <w:r w:rsidR="00E93986" w:rsidRPr="002B03A6">
        <w:rPr>
          <w:color w:val="FF0000"/>
        </w:rPr>
        <w:t>. 0</w:t>
      </w:r>
      <w:r w:rsidR="00B46F61">
        <w:rPr>
          <w:color w:val="FF0000"/>
        </w:rPr>
        <w:t>4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4452F1B3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054AB0">
        <w:rPr>
          <w:color w:val="FF0000"/>
        </w:rPr>
        <w:t>2</w:t>
      </w:r>
      <w:r w:rsidR="00B46F61">
        <w:rPr>
          <w:color w:val="FF0000"/>
        </w:rPr>
        <w:t>3</w:t>
      </w:r>
      <w:r w:rsidR="00E93986" w:rsidRPr="002B03A6">
        <w:rPr>
          <w:color w:val="FF0000"/>
        </w:rPr>
        <w:t>. 0</w:t>
      </w:r>
      <w:r w:rsidR="00B46F61">
        <w:rPr>
          <w:color w:val="FF0000"/>
        </w:rPr>
        <w:t>4</w:t>
      </w:r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  <w:bookmarkStart w:id="265" w:name="_GoBack"/>
      <w:bookmarkEnd w:id="265"/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6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6"/>
    </w:p>
    <w:p w14:paraId="4325E6C3" w14:textId="5B965021" w:rsidR="00EF2D37" w:rsidRPr="00BE5BF7" w:rsidRDefault="00EF2D37" w:rsidP="00E63FCB">
      <w:pPr>
        <w:pStyle w:val="Nadpis3"/>
      </w:pPr>
      <w:bookmarkStart w:id="267" w:name="_Toc4416631"/>
      <w:bookmarkStart w:id="268" w:name="_Toc4416925"/>
      <w:bookmarkStart w:id="269" w:name="_Toc4416974"/>
      <w:bookmarkStart w:id="270" w:name="_Ref4423141"/>
      <w:bookmarkStart w:id="271" w:name="_Ref4423334"/>
      <w:bookmarkStart w:id="272" w:name="_Ref4423373"/>
      <w:bookmarkStart w:id="273" w:name="_Toc22212289"/>
      <w:bookmarkStart w:id="274" w:name="_Toc444084960"/>
      <w:r w:rsidRPr="00BE5BF7">
        <w:t>Vyhodnotenie splnenia podmienok účasti, vysvetľovanie a vyhodnocovanie ponúk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BE5BF7">
        <w:t xml:space="preserve"> </w:t>
      </w:r>
      <w:bookmarkEnd w:id="274"/>
    </w:p>
    <w:p w14:paraId="02A61845" w14:textId="483C57B0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</w:t>
      </w:r>
      <w:r w:rsidR="00330269">
        <w:lastRenderedPageBreak/>
        <w:t xml:space="preserve">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5" w:name="page15"/>
      <w:bookmarkEnd w:id="275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6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221229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4"/>
      <w:bookmarkEnd w:id="305"/>
      <w:bookmarkEnd w:id="306"/>
      <w:bookmarkEnd w:id="307"/>
      <w:bookmarkEnd w:id="308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9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</w:t>
      </w:r>
      <w:r w:rsidRPr="00066832">
        <w:lastRenderedPageBreak/>
        <w:t xml:space="preserve">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EF369" w14:textId="77777777" w:rsidR="002D0F06" w:rsidRDefault="002D0F06" w:rsidP="005A4804">
      <w:r>
        <w:separator/>
      </w:r>
    </w:p>
  </w:endnote>
  <w:endnote w:type="continuationSeparator" w:id="0">
    <w:p w14:paraId="3D91B5FC" w14:textId="77777777" w:rsidR="002D0F06" w:rsidRDefault="002D0F06" w:rsidP="005A4804">
      <w:r>
        <w:continuationSeparator/>
      </w:r>
    </w:p>
  </w:endnote>
  <w:endnote w:type="continuationNotice" w:id="1">
    <w:p w14:paraId="73C699CA" w14:textId="77777777" w:rsidR="002D0F06" w:rsidRDefault="002D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8EED" w14:textId="77777777" w:rsidR="002D0F06" w:rsidRDefault="002D0F06" w:rsidP="005A4804">
      <w:r>
        <w:separator/>
      </w:r>
    </w:p>
  </w:footnote>
  <w:footnote w:type="continuationSeparator" w:id="0">
    <w:p w14:paraId="29D727A8" w14:textId="77777777" w:rsidR="002D0F06" w:rsidRDefault="002D0F06" w:rsidP="005A4804">
      <w:r>
        <w:continuationSeparator/>
      </w:r>
    </w:p>
  </w:footnote>
  <w:footnote w:type="continuationNotice" w:id="1">
    <w:p w14:paraId="6630D9FA" w14:textId="77777777" w:rsidR="002D0F06" w:rsidRDefault="002D0F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4AB0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0F06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0D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6F61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81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F7FA9F-CCFA-4861-AE10-5EBC8C7D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0</TotalTime>
  <Pages>31</Pages>
  <Words>12332</Words>
  <Characters>70293</Characters>
  <Application>Microsoft Office Word</Application>
  <DocSecurity>0</DocSecurity>
  <Lines>585</Lines>
  <Paragraphs>164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2020-03-17T19:23:00Z</dcterms:created>
  <dcterms:modified xsi:type="dcterms:W3CDTF">2020-03-17T19:23:00Z</dcterms:modified>
</cp:coreProperties>
</file>