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656C6F23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7A4CB6">
        <w:rPr>
          <w:rFonts w:ascii="Times New Roman" w:hAnsi="Times New Roman" w:cs="Times New Roman"/>
          <w:b/>
          <w:sz w:val="22"/>
          <w:szCs w:val="22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/2024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6CD65F11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 1.</w:t>
      </w:r>
      <w:r w:rsidR="006852A7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.2024 do 31.12.2024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00AC76" w14:textId="77777777" w:rsidR="00056DB3" w:rsidRDefault="00523853" w:rsidP="00056DB3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6852A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056DB3"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Národný ústav srdcových a cievnych chorôb, </w:t>
      </w:r>
      <w:proofErr w:type="spellStart"/>
      <w:r w:rsidR="00056DB3" w:rsidRPr="00503634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056DB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17A5EB52" w14:textId="3B469185" w:rsidR="006852A7" w:rsidRDefault="00056DB3" w:rsidP="00056DB3">
      <w:pPr>
        <w:pStyle w:val="Zkladntext1"/>
        <w:spacing w:after="0" w:line="240" w:lineRule="auto"/>
        <w:ind w:left="708" w:firstLine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6852A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6852A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6852A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056DB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Pod Krásnou hôrkou 1, 833 48  Bratislava</w:t>
      </w:r>
    </w:p>
    <w:p w14:paraId="7A29AD8D" w14:textId="5525208E" w:rsidR="006852A7" w:rsidRDefault="006852A7" w:rsidP="006852A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C5EC194" w14:textId="77777777" w:rsidR="006852A7" w:rsidRDefault="006852A7" w:rsidP="006852A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966BE0" w:rsidRDefault="00192A2B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573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299B9D0" w14:textId="77777777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8165B7" w14:textId="77777777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AE2453" w14:textId="7E7A2F9C" w:rsidR="00952B0D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(na doplnenie)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4E319" w14:textId="77777777" w:rsidR="0039070E" w:rsidRDefault="0039070E" w:rsidP="007F0D4C">
      <w:r>
        <w:separator/>
      </w:r>
    </w:p>
  </w:endnote>
  <w:endnote w:type="continuationSeparator" w:id="0">
    <w:p w14:paraId="5FF9A9DA" w14:textId="77777777" w:rsidR="0039070E" w:rsidRDefault="0039070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2FC43" w14:textId="77777777" w:rsidR="0039070E" w:rsidRDefault="0039070E" w:rsidP="007F0D4C">
      <w:r>
        <w:separator/>
      </w:r>
    </w:p>
  </w:footnote>
  <w:footnote w:type="continuationSeparator" w:id="0">
    <w:p w14:paraId="7D228DCF" w14:textId="77777777" w:rsidR="0039070E" w:rsidRDefault="0039070E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2DC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6BD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1B570B1-6C08-4031-B067-099360EC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2024-04-08T12:46:00Z</dcterms:modified>
</cp:coreProperties>
</file>