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30811A19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b/>
          <w:bCs/>
          <w:sz w:val="22"/>
          <w:szCs w:val="22"/>
        </w:rPr>
        <w:t>Kupujúci:</w:t>
      </w:r>
      <w:r w:rsidRPr="0034032B">
        <w:rPr>
          <w:rFonts w:ascii="Arial" w:hAnsi="Arial" w:cs="Arial"/>
          <w:sz w:val="22"/>
          <w:szCs w:val="22"/>
        </w:rPr>
        <w:tab/>
      </w:r>
      <w:r w:rsidR="001A7F4F" w:rsidRPr="008314CC">
        <w:rPr>
          <w:rFonts w:ascii="Arial" w:hAnsi="Arial" w:cs="Arial"/>
          <w:b/>
          <w:bCs/>
          <w:sz w:val="22"/>
          <w:szCs w:val="22"/>
        </w:rPr>
        <w:t xml:space="preserve">Ing. František </w:t>
      </w:r>
      <w:proofErr w:type="spellStart"/>
      <w:r w:rsidR="001A7F4F" w:rsidRPr="008314CC">
        <w:rPr>
          <w:rFonts w:ascii="Arial" w:hAnsi="Arial" w:cs="Arial"/>
          <w:b/>
          <w:bCs/>
          <w:sz w:val="22"/>
          <w:szCs w:val="22"/>
        </w:rPr>
        <w:t>Blažek</w:t>
      </w:r>
      <w:proofErr w:type="spellEnd"/>
      <w:r w:rsidR="001A7F4F" w:rsidRPr="008314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A7F4F" w:rsidRPr="008314CC">
        <w:rPr>
          <w:rFonts w:ascii="Arial" w:hAnsi="Arial" w:cs="Arial"/>
          <w:b/>
          <w:bCs/>
          <w:sz w:val="22"/>
          <w:szCs w:val="22"/>
        </w:rPr>
        <w:t>Autocentrum</w:t>
      </w:r>
      <w:proofErr w:type="spellEnd"/>
    </w:p>
    <w:p w14:paraId="1F1803E4" w14:textId="77777777" w:rsidR="001A7F4F" w:rsidRDefault="00E11051" w:rsidP="00794B6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Sídlo 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1A7F4F" w:rsidRPr="008314CC">
        <w:rPr>
          <w:rFonts w:ascii="Arial" w:hAnsi="Arial" w:cs="Arial"/>
          <w:sz w:val="22"/>
          <w:szCs w:val="22"/>
        </w:rPr>
        <w:t xml:space="preserve">Nová 368/34, 941 44 Hul </w:t>
      </w:r>
    </w:p>
    <w:p w14:paraId="3692E7D7" w14:textId="331C581A" w:rsidR="00E11051" w:rsidRPr="0034032B" w:rsidRDefault="00E11051" w:rsidP="00794B67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Zastúpený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1A7F4F">
        <w:rPr>
          <w:rFonts w:ascii="Arial" w:hAnsi="Arial" w:cs="Arial"/>
          <w:sz w:val="22"/>
          <w:szCs w:val="22"/>
        </w:rPr>
        <w:t>Ing. František</w:t>
      </w:r>
      <w:r w:rsidR="00794B67" w:rsidRPr="003403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4B67" w:rsidRPr="0034032B">
        <w:rPr>
          <w:rFonts w:ascii="Arial" w:hAnsi="Arial" w:cs="Arial"/>
          <w:sz w:val="22"/>
          <w:szCs w:val="22"/>
        </w:rPr>
        <w:t>Blažek</w:t>
      </w:r>
      <w:proofErr w:type="spellEnd"/>
    </w:p>
    <w:p w14:paraId="3CD4F8C0" w14:textId="7926CE3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IČO:  </w:t>
      </w:r>
      <w:r w:rsidRPr="0034032B">
        <w:rPr>
          <w:rFonts w:ascii="Arial" w:hAnsi="Arial" w:cs="Arial"/>
          <w:sz w:val="22"/>
          <w:szCs w:val="22"/>
        </w:rPr>
        <w:tab/>
      </w:r>
      <w:r w:rsidR="001A7F4F" w:rsidRPr="008314CC">
        <w:rPr>
          <w:rFonts w:ascii="Arial" w:hAnsi="Arial" w:cs="Arial"/>
          <w:sz w:val="22"/>
          <w:szCs w:val="22"/>
        </w:rPr>
        <w:t>30 991 439</w:t>
      </w:r>
    </w:p>
    <w:p w14:paraId="5157A8D4" w14:textId="6CD2D463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DIČ</w:t>
      </w:r>
      <w:r w:rsidR="0078300B" w:rsidRPr="0034032B">
        <w:rPr>
          <w:rFonts w:ascii="Arial" w:hAnsi="Arial" w:cs="Arial"/>
          <w:sz w:val="22"/>
          <w:szCs w:val="22"/>
        </w:rPr>
        <w:t>:</w:t>
      </w:r>
      <w:r w:rsidRPr="0034032B">
        <w:rPr>
          <w:rFonts w:ascii="Arial" w:hAnsi="Arial" w:cs="Arial"/>
          <w:sz w:val="22"/>
          <w:szCs w:val="22"/>
        </w:rPr>
        <w:tab/>
      </w:r>
      <w:r w:rsidR="001A7F4F" w:rsidRPr="001A7F4F">
        <w:rPr>
          <w:rFonts w:ascii="Arial" w:hAnsi="Arial" w:cs="Arial"/>
          <w:sz w:val="22"/>
          <w:szCs w:val="22"/>
        </w:rPr>
        <w:t>1020424130</w:t>
      </w:r>
    </w:p>
    <w:p w14:paraId="2AF4A702" w14:textId="3D9E3A1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>IČ DPH:</w:t>
      </w:r>
      <w:r w:rsidR="00B00E09" w:rsidRPr="0034032B">
        <w:rPr>
          <w:rFonts w:ascii="Arial" w:hAnsi="Arial" w:cs="Arial"/>
          <w:sz w:val="22"/>
          <w:szCs w:val="22"/>
        </w:rPr>
        <w:tab/>
      </w:r>
      <w:r w:rsidR="001A7F4F">
        <w:rPr>
          <w:rFonts w:ascii="Arial" w:hAnsi="Arial" w:cs="Arial"/>
          <w:sz w:val="22"/>
          <w:szCs w:val="22"/>
        </w:rPr>
        <w:t>SK</w:t>
      </w:r>
      <w:r w:rsidR="001A7F4F" w:rsidRPr="001A7F4F">
        <w:rPr>
          <w:rFonts w:ascii="Arial" w:hAnsi="Arial" w:cs="Arial"/>
          <w:sz w:val="22"/>
          <w:szCs w:val="22"/>
        </w:rPr>
        <w:t>1020424130</w:t>
      </w:r>
    </w:p>
    <w:p w14:paraId="06B7B0FA" w14:textId="42B001FA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IBAN: </w:t>
      </w:r>
      <w:r w:rsidRPr="0034032B">
        <w:rPr>
          <w:rFonts w:ascii="Arial" w:hAnsi="Arial" w:cs="Arial"/>
          <w:sz w:val="22"/>
          <w:szCs w:val="22"/>
        </w:rPr>
        <w:tab/>
      </w:r>
      <w:r w:rsidR="00DD2E1F" w:rsidRPr="00DD2E1F">
        <w:rPr>
          <w:rFonts w:ascii="Arial" w:hAnsi="Arial" w:cs="Arial"/>
          <w:sz w:val="22"/>
          <w:szCs w:val="22"/>
        </w:rPr>
        <w:t>SK35</w:t>
      </w:r>
      <w:r w:rsidR="00DD2E1F" w:rsidRPr="00DD2E1F">
        <w:rPr>
          <w:rFonts w:ascii="Arial" w:hAnsi="Arial" w:cs="Arial"/>
          <w:sz w:val="22"/>
          <w:szCs w:val="22"/>
        </w:rPr>
        <w:t xml:space="preserve"> </w:t>
      </w:r>
      <w:r w:rsidR="00DD2E1F" w:rsidRPr="00DD2E1F">
        <w:rPr>
          <w:rFonts w:ascii="Arial" w:hAnsi="Arial" w:cs="Arial"/>
          <w:sz w:val="22"/>
          <w:szCs w:val="22"/>
        </w:rPr>
        <w:t>0200</w:t>
      </w:r>
      <w:r w:rsidR="00DD2E1F" w:rsidRPr="00DD2E1F">
        <w:rPr>
          <w:rFonts w:ascii="Arial" w:hAnsi="Arial" w:cs="Arial"/>
          <w:sz w:val="22"/>
          <w:szCs w:val="22"/>
        </w:rPr>
        <w:t xml:space="preserve"> </w:t>
      </w:r>
      <w:r w:rsidR="00DD2E1F" w:rsidRPr="00DD2E1F">
        <w:rPr>
          <w:rFonts w:ascii="Arial" w:hAnsi="Arial" w:cs="Arial"/>
          <w:sz w:val="22"/>
          <w:szCs w:val="22"/>
        </w:rPr>
        <w:t>0000</w:t>
      </w:r>
      <w:r w:rsidR="00DD2E1F" w:rsidRPr="00DD2E1F">
        <w:rPr>
          <w:rFonts w:ascii="Arial" w:hAnsi="Arial" w:cs="Arial"/>
          <w:sz w:val="22"/>
          <w:szCs w:val="22"/>
        </w:rPr>
        <w:t xml:space="preserve"> </w:t>
      </w:r>
      <w:r w:rsidR="00DD2E1F" w:rsidRPr="00DD2E1F">
        <w:rPr>
          <w:rFonts w:ascii="Arial" w:hAnsi="Arial" w:cs="Arial"/>
          <w:sz w:val="22"/>
          <w:szCs w:val="22"/>
        </w:rPr>
        <w:t>0000</w:t>
      </w:r>
      <w:r w:rsidR="00DD2E1F" w:rsidRPr="00DD2E1F">
        <w:rPr>
          <w:rFonts w:ascii="Arial" w:hAnsi="Arial" w:cs="Arial"/>
          <w:sz w:val="22"/>
          <w:szCs w:val="22"/>
        </w:rPr>
        <w:t xml:space="preserve"> </w:t>
      </w:r>
      <w:r w:rsidR="00DD2E1F" w:rsidRPr="00DD2E1F">
        <w:rPr>
          <w:rFonts w:ascii="Arial" w:hAnsi="Arial" w:cs="Arial"/>
          <w:sz w:val="22"/>
          <w:szCs w:val="22"/>
        </w:rPr>
        <w:t>7254</w:t>
      </w:r>
      <w:r w:rsidR="00DD2E1F" w:rsidRPr="00DD2E1F">
        <w:rPr>
          <w:rFonts w:ascii="Arial" w:hAnsi="Arial" w:cs="Arial"/>
          <w:sz w:val="22"/>
          <w:szCs w:val="22"/>
        </w:rPr>
        <w:t xml:space="preserve"> </w:t>
      </w:r>
      <w:r w:rsidR="00DD2E1F" w:rsidRPr="00DD2E1F">
        <w:rPr>
          <w:rFonts w:ascii="Arial" w:hAnsi="Arial" w:cs="Arial"/>
          <w:sz w:val="22"/>
          <w:szCs w:val="22"/>
        </w:rPr>
        <w:t>4162</w:t>
      </w:r>
    </w:p>
    <w:p w14:paraId="500D119B" w14:textId="77777777" w:rsidR="00E11051" w:rsidRPr="0034032B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34032B">
        <w:rPr>
          <w:rFonts w:ascii="Arial" w:hAnsi="Arial" w:cs="Arial"/>
          <w:sz w:val="22"/>
          <w:szCs w:val="22"/>
        </w:rPr>
        <w:t xml:space="preserve">(ďalej ako </w:t>
      </w:r>
      <w:r w:rsidRPr="0034032B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34032B">
        <w:rPr>
          <w:rFonts w:ascii="Arial" w:hAnsi="Arial" w:cs="Arial"/>
          <w:sz w:val="22"/>
          <w:szCs w:val="22"/>
        </w:rPr>
        <w:t>“)</w:t>
      </w:r>
      <w:r w:rsidRPr="0034032B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1D8B676C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955B39" w:rsidRPr="00955B39">
        <w:rPr>
          <w:rFonts w:asciiTheme="minorHAnsi" w:hAnsiTheme="minorHAnsi" w:cstheme="minorHAnsi"/>
          <w:b/>
          <w:bCs/>
        </w:rPr>
        <w:t>Ťahaný postrekovač, pluh a čistička poľnohospodárskych plodín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11D37F98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EF247F">
        <w:rPr>
          <w:rFonts w:ascii="Arial" w:hAnsi="Arial" w:cs="Arial"/>
          <w:b/>
          <w:bCs/>
          <w:sz w:val="22"/>
          <w:szCs w:val="22"/>
        </w:rPr>
        <w:t xml:space="preserve">do </w:t>
      </w:r>
      <w:r w:rsidR="0034032B">
        <w:rPr>
          <w:rFonts w:ascii="Arial" w:hAnsi="Arial" w:cs="Arial"/>
          <w:b/>
          <w:bCs/>
          <w:sz w:val="22"/>
          <w:szCs w:val="22"/>
        </w:rPr>
        <w:t>31.12.2024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57CC2170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1A7F4F" w:rsidRPr="001A7F4F">
        <w:rPr>
          <w:rFonts w:ascii="Arial" w:hAnsi="Arial" w:cs="Arial"/>
          <w:b/>
          <w:bCs/>
          <w:sz w:val="22"/>
          <w:szCs w:val="22"/>
        </w:rPr>
        <w:t>Nová 368/34, 941 44 Hul</w:t>
      </w:r>
      <w:r w:rsidR="00F514A1" w:rsidRPr="001A7F4F">
        <w:rPr>
          <w:rFonts w:ascii="Arial" w:hAnsi="Arial" w:cs="Arial"/>
          <w:b/>
          <w:bCs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1507"/>
        <w:gridCol w:w="2267"/>
        <w:gridCol w:w="1778"/>
        <w:gridCol w:w="1999"/>
      </w:tblGrid>
      <w:tr w:rsidR="00227879" w:rsidRPr="00777EEE" w14:paraId="43A2899B" w14:textId="77777777" w:rsidTr="00742D4B">
        <w:trPr>
          <w:trHeight w:val="436"/>
        </w:trPr>
        <w:tc>
          <w:tcPr>
            <w:tcW w:w="152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552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984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2233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7F4F" w:rsidRPr="00777EEE" w14:paraId="0D301102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5095C2D2" w14:textId="4217C7C8" w:rsidR="001A7F4F" w:rsidRDefault="001A7F4F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Ťahaný postrekovač</w:t>
            </w:r>
          </w:p>
        </w:tc>
        <w:tc>
          <w:tcPr>
            <w:tcW w:w="1559" w:type="dxa"/>
            <w:vAlign w:val="center"/>
          </w:tcPr>
          <w:p w14:paraId="1C5FE083" w14:textId="7836F69B" w:rsidR="001A7F4F" w:rsidRDefault="001A7F4F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534BC7C" w14:textId="77777777" w:rsidR="001A7F4F" w:rsidRPr="00777EEE" w:rsidRDefault="001A7F4F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32FB20B" w14:textId="77777777" w:rsidR="001A7F4F" w:rsidRPr="00777EEE" w:rsidRDefault="001A7F4F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07CE3767" w14:textId="77777777" w:rsidR="001A7F4F" w:rsidRPr="00777EEE" w:rsidRDefault="001A7F4F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E08" w:rsidRPr="00777EEE" w14:paraId="788835A3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5F33E99A" w14:textId="32295F3A" w:rsidR="00343E08" w:rsidRDefault="001A7F4F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Pluh</w:t>
            </w:r>
          </w:p>
        </w:tc>
        <w:tc>
          <w:tcPr>
            <w:tcW w:w="1559" w:type="dxa"/>
            <w:vAlign w:val="center"/>
          </w:tcPr>
          <w:p w14:paraId="6595A776" w14:textId="55AFDADA" w:rsidR="00343E08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39465700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845B83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22B7997E" w14:textId="77777777" w:rsidR="00343E08" w:rsidRPr="00777EEE" w:rsidRDefault="00343E08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2C7" w:rsidRPr="00777EEE" w14:paraId="1AC3DB36" w14:textId="77777777" w:rsidTr="00742D4B">
        <w:trPr>
          <w:trHeight w:val="615"/>
        </w:trPr>
        <w:tc>
          <w:tcPr>
            <w:tcW w:w="1526" w:type="dxa"/>
            <w:vAlign w:val="center"/>
          </w:tcPr>
          <w:p w14:paraId="6ECA5A87" w14:textId="337FAE4D" w:rsidR="009932C7" w:rsidRDefault="009932C7" w:rsidP="001A1155">
            <w:pPr>
              <w:pStyle w:val="Riadok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Č</w:t>
            </w:r>
            <w:r w:rsidRPr="009932C7">
              <w:rPr>
                <w:rFonts w:asciiTheme="minorHAnsi" w:hAnsiTheme="minorHAnsi" w:cstheme="minorHAnsi"/>
                <w:b/>
                <w:bCs/>
              </w:rPr>
              <w:t>istička poľnohospodárskych plodín</w:t>
            </w:r>
          </w:p>
        </w:tc>
        <w:tc>
          <w:tcPr>
            <w:tcW w:w="1559" w:type="dxa"/>
            <w:vAlign w:val="center"/>
          </w:tcPr>
          <w:p w14:paraId="63FFDAE3" w14:textId="444E99A9" w:rsidR="009932C7" w:rsidRDefault="009932C7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97D1B64" w14:textId="77777777" w:rsidR="009932C7" w:rsidRPr="00777EEE" w:rsidRDefault="009932C7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90BEDD" w14:textId="77777777" w:rsidR="009932C7" w:rsidRPr="00777EEE" w:rsidRDefault="009932C7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vAlign w:val="center"/>
          </w:tcPr>
          <w:p w14:paraId="6EF727EE" w14:textId="77777777" w:rsidR="009932C7" w:rsidRPr="00777EEE" w:rsidRDefault="009932C7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9B25664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06E4C158" w:rsidR="00C142C4" w:rsidRPr="00777EEE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prípade, že predávajúci nedodrží </w:t>
      </w:r>
      <w:r>
        <w:rPr>
          <w:rFonts w:ascii="Arial" w:hAnsi="Arial" w:cs="Arial"/>
          <w:sz w:val="22"/>
          <w:szCs w:val="22"/>
        </w:rPr>
        <w:t>termín</w:t>
      </w:r>
      <w:r w:rsidRPr="0031151B">
        <w:rPr>
          <w:rFonts w:ascii="Arial" w:hAnsi="Arial" w:cs="Arial"/>
          <w:sz w:val="22"/>
          <w:szCs w:val="22"/>
        </w:rPr>
        <w:t xml:space="preserve"> plnenia, dohodnutú v tejto zmluve, kupujúci má právo účtovať predávajúcemu zmluvnú pokutu vo výške 0,05% z ceny nedodaného predmetu tejto zmluvy za každý začatý deň omeškania, najviac však do výšky 10% z ceny predmetu plnenia. Základom pre výpočet sú ceny bez DPH</w:t>
      </w:r>
      <w:r w:rsidR="00C15723" w:rsidRPr="00777EEE">
        <w:rPr>
          <w:rFonts w:ascii="Arial" w:hAnsi="Arial" w:cs="Arial"/>
          <w:sz w:val="22"/>
          <w:szCs w:val="22"/>
        </w:rPr>
        <w:t>.</w:t>
      </w:r>
    </w:p>
    <w:p w14:paraId="29CBCD59" w14:textId="10D9F74E" w:rsidR="00C142C4" w:rsidRDefault="0031151B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151B">
        <w:rPr>
          <w:rFonts w:ascii="Arial" w:hAnsi="Arial" w:cs="Arial"/>
          <w:sz w:val="22"/>
          <w:szCs w:val="22"/>
        </w:rPr>
        <w:t xml:space="preserve">V prípade omeškania kupujúceho s úhradou daňového dokladu </w:t>
      </w:r>
      <w:r>
        <w:rPr>
          <w:rFonts w:ascii="Arial" w:hAnsi="Arial" w:cs="Arial"/>
          <w:sz w:val="22"/>
          <w:szCs w:val="22"/>
        </w:rPr>
        <w:t>k</w:t>
      </w:r>
      <w:r w:rsidRPr="0031151B">
        <w:rPr>
          <w:rFonts w:ascii="Arial" w:hAnsi="Arial" w:cs="Arial"/>
          <w:sz w:val="22"/>
          <w:szCs w:val="22"/>
        </w:rPr>
        <w:t xml:space="preserve"> tejto zmluve</w:t>
      </w:r>
      <w:r>
        <w:rPr>
          <w:rFonts w:ascii="Arial" w:hAnsi="Arial" w:cs="Arial"/>
          <w:sz w:val="22"/>
          <w:szCs w:val="22"/>
        </w:rPr>
        <w:t>,</w:t>
      </w:r>
      <w:r w:rsidRPr="0031151B">
        <w:rPr>
          <w:rFonts w:ascii="Arial" w:hAnsi="Arial" w:cs="Arial"/>
          <w:sz w:val="22"/>
          <w:szCs w:val="22"/>
        </w:rPr>
        <w:t xml:space="preserve"> má predávajúci právo požadovať od kupujúceho úrok z omeškania vo výške 0,05% z neuhradenej sumy za každý začatý deň omeškania, najviac však do výšky 10% z neuhradenej sumy</w:t>
      </w:r>
      <w:r w:rsidR="00961508"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55B8B2EE" w14:textId="6329F06E" w:rsidR="00445904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74BC39D8" w14:textId="77777777" w:rsidR="00487AE6" w:rsidRPr="00EF247F" w:rsidRDefault="00487AE6" w:rsidP="00487AE6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4A2E2CB4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1A7F4F">
        <w:rPr>
          <w:rFonts w:ascii="Arial" w:hAnsi="Arial" w:cs="Arial"/>
          <w:sz w:val="22"/>
          <w:szCs w:val="22"/>
        </w:rPr>
        <w:t> obci Hul</w:t>
      </w:r>
      <w:r w:rsidRPr="00777EEE">
        <w:rPr>
          <w:rFonts w:ascii="Arial" w:hAnsi="Arial" w:cs="Arial"/>
          <w:sz w:val="22"/>
          <w:szCs w:val="22"/>
        </w:rPr>
        <w:t xml:space="preserve"> dňa: ............</w:t>
      </w: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56A8D46A" w:rsidR="00552949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25E9BBDA" w14:textId="77777777" w:rsidR="00552949" w:rsidRDefault="0055294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D1D36D" w14:textId="664ED534" w:rsidR="00C142C4" w:rsidRPr="002B643D" w:rsidRDefault="00552949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Príloha č. 1 - </w:t>
      </w:r>
      <w:r w:rsidR="00941613">
        <w:rPr>
          <w:rFonts w:ascii="Arial" w:hAnsi="Arial" w:cs="Arial"/>
          <w:sz w:val="22"/>
          <w:szCs w:val="22"/>
        </w:rPr>
        <w:t>Špecifikácia predmetu zmluvy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77E8" w14:textId="77777777" w:rsidR="00AC0944" w:rsidRDefault="00AC0944">
      <w:r>
        <w:separator/>
      </w:r>
    </w:p>
  </w:endnote>
  <w:endnote w:type="continuationSeparator" w:id="0">
    <w:p w14:paraId="7D8EAD5A" w14:textId="77777777" w:rsidR="00AC0944" w:rsidRDefault="00AC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C8BD" w14:textId="77777777" w:rsidR="00AC0944" w:rsidRDefault="00AC0944">
      <w:r>
        <w:separator/>
      </w:r>
    </w:p>
  </w:footnote>
  <w:footnote w:type="continuationSeparator" w:id="0">
    <w:p w14:paraId="5CA10949" w14:textId="77777777" w:rsidR="00AC0944" w:rsidRDefault="00AC0944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14D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A7F4F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2F784B"/>
    <w:rsid w:val="0031088E"/>
    <w:rsid w:val="0031151B"/>
    <w:rsid w:val="003158A1"/>
    <w:rsid w:val="003244D5"/>
    <w:rsid w:val="0033007A"/>
    <w:rsid w:val="00332D8E"/>
    <w:rsid w:val="0034032B"/>
    <w:rsid w:val="003406CF"/>
    <w:rsid w:val="003437ED"/>
    <w:rsid w:val="00343E08"/>
    <w:rsid w:val="0039193E"/>
    <w:rsid w:val="00395DA9"/>
    <w:rsid w:val="003A7547"/>
    <w:rsid w:val="003A7984"/>
    <w:rsid w:val="003C42BE"/>
    <w:rsid w:val="003E28AC"/>
    <w:rsid w:val="0040752D"/>
    <w:rsid w:val="004162E0"/>
    <w:rsid w:val="00416DCF"/>
    <w:rsid w:val="00445904"/>
    <w:rsid w:val="00461CC9"/>
    <w:rsid w:val="004855A3"/>
    <w:rsid w:val="00487AE6"/>
    <w:rsid w:val="004E513B"/>
    <w:rsid w:val="00526D9B"/>
    <w:rsid w:val="00540439"/>
    <w:rsid w:val="00552949"/>
    <w:rsid w:val="00591893"/>
    <w:rsid w:val="00593E77"/>
    <w:rsid w:val="00595D3F"/>
    <w:rsid w:val="005D0430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2D4B"/>
    <w:rsid w:val="00747A45"/>
    <w:rsid w:val="0075097A"/>
    <w:rsid w:val="00752061"/>
    <w:rsid w:val="00777EEE"/>
    <w:rsid w:val="0078300B"/>
    <w:rsid w:val="00792CC3"/>
    <w:rsid w:val="00794B67"/>
    <w:rsid w:val="007A2F97"/>
    <w:rsid w:val="007E6CA7"/>
    <w:rsid w:val="007F2B76"/>
    <w:rsid w:val="008150D0"/>
    <w:rsid w:val="00831FB6"/>
    <w:rsid w:val="00863BDD"/>
    <w:rsid w:val="00863E7F"/>
    <w:rsid w:val="0087780E"/>
    <w:rsid w:val="00884BD6"/>
    <w:rsid w:val="00920036"/>
    <w:rsid w:val="0092308B"/>
    <w:rsid w:val="00934584"/>
    <w:rsid w:val="00937500"/>
    <w:rsid w:val="00941613"/>
    <w:rsid w:val="00955B39"/>
    <w:rsid w:val="00961508"/>
    <w:rsid w:val="00976491"/>
    <w:rsid w:val="00992184"/>
    <w:rsid w:val="00992CA4"/>
    <w:rsid w:val="009932C7"/>
    <w:rsid w:val="00A036B8"/>
    <w:rsid w:val="00A03C99"/>
    <w:rsid w:val="00A36D6D"/>
    <w:rsid w:val="00A43522"/>
    <w:rsid w:val="00A455C5"/>
    <w:rsid w:val="00A47927"/>
    <w:rsid w:val="00A649CB"/>
    <w:rsid w:val="00A71A3E"/>
    <w:rsid w:val="00A82B5B"/>
    <w:rsid w:val="00A879E9"/>
    <w:rsid w:val="00AA401F"/>
    <w:rsid w:val="00AC0944"/>
    <w:rsid w:val="00AC5405"/>
    <w:rsid w:val="00B00E09"/>
    <w:rsid w:val="00B32F5B"/>
    <w:rsid w:val="00B557D2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2F37"/>
    <w:rsid w:val="00D95E57"/>
    <w:rsid w:val="00DC2733"/>
    <w:rsid w:val="00DD2E1F"/>
    <w:rsid w:val="00DF27E4"/>
    <w:rsid w:val="00E01AAA"/>
    <w:rsid w:val="00E11051"/>
    <w:rsid w:val="00E262F2"/>
    <w:rsid w:val="00E36707"/>
    <w:rsid w:val="00E36935"/>
    <w:rsid w:val="00E377ED"/>
    <w:rsid w:val="00E461DF"/>
    <w:rsid w:val="00ED13D1"/>
    <w:rsid w:val="00EF0AE7"/>
    <w:rsid w:val="00EF247F"/>
    <w:rsid w:val="00F255FF"/>
    <w:rsid w:val="00F41E7B"/>
    <w:rsid w:val="00F514A1"/>
    <w:rsid w:val="00F83269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31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59</cp:revision>
  <cp:lastPrinted>2019-02-06T16:14:00Z</cp:lastPrinted>
  <dcterms:created xsi:type="dcterms:W3CDTF">2022-04-06T18:28:00Z</dcterms:created>
  <dcterms:modified xsi:type="dcterms:W3CDTF">2024-04-11T19:39:00Z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