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826AC" w14:textId="77777777" w:rsidR="000A6C66" w:rsidRDefault="00E0628E">
      <w:pPr>
        <w:pStyle w:val="Zkladntext"/>
        <w:spacing w:before="0"/>
        <w:ind w:left="32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8016CD" wp14:editId="04F77A36">
            <wp:extent cx="1799791" cy="708564"/>
            <wp:effectExtent l="0" t="0" r="0" b="0"/>
            <wp:docPr id="1" name="image1.png" descr="K:\DIZAJN MANUÁL NBS_SCHVÁLENÝ_2019\Základný Dizajn manuál NBS_FINAL_2018\LOGOTYP\01 - SK\01 - w EUROSYSTEM\01- BLUE\02 - RGB\PNG\LOGO-NBS-EUROSYSTEM-SK-A-BLUE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79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6706" w14:textId="77777777" w:rsidR="000A6C66" w:rsidRDefault="000A6C66">
      <w:pPr>
        <w:pStyle w:val="Zkladntext"/>
        <w:spacing w:before="8"/>
        <w:rPr>
          <w:rFonts w:ascii="Times New Roman"/>
          <w:sz w:val="12"/>
        </w:rPr>
      </w:pPr>
    </w:p>
    <w:p w14:paraId="0D1CF466" w14:textId="44411544" w:rsidR="000A6C66" w:rsidRDefault="00E0628E">
      <w:pPr>
        <w:pStyle w:val="Zkladntext"/>
        <w:spacing w:before="101" w:line="288" w:lineRule="auto"/>
        <w:ind w:left="5781" w:right="573"/>
      </w:pPr>
      <w:r>
        <w:t xml:space="preserve">Číslo spisu: </w:t>
      </w:r>
      <w:r w:rsidR="00D20C80" w:rsidRPr="00B544DC">
        <w:t>NBS1-000-096-859</w:t>
      </w:r>
      <w:r w:rsidR="00D20C80" w:rsidRPr="00B544DC">
        <w:rPr>
          <w:b/>
          <w:bCs/>
        </w:rPr>
        <w:t xml:space="preserve"> </w:t>
      </w:r>
      <w:r>
        <w:t xml:space="preserve">V Bratislave, dňa </w:t>
      </w:r>
      <w:r w:rsidR="00E72A84">
        <w:t>12</w:t>
      </w:r>
      <w:r>
        <w:t>.</w:t>
      </w:r>
      <w:r w:rsidR="0021377A">
        <w:t>0</w:t>
      </w:r>
      <w:r w:rsidR="00E72A84">
        <w:t>6</w:t>
      </w:r>
      <w:r>
        <w:t>.202</w:t>
      </w:r>
      <w:r w:rsidR="0021377A">
        <w:t>4</w:t>
      </w:r>
    </w:p>
    <w:p w14:paraId="2AD8AEC5" w14:textId="77777777" w:rsidR="000A6C66" w:rsidRDefault="000A6C66">
      <w:pPr>
        <w:pStyle w:val="Zkladntext"/>
        <w:spacing w:before="2"/>
        <w:rPr>
          <w:sz w:val="24"/>
        </w:rPr>
      </w:pPr>
    </w:p>
    <w:p w14:paraId="55B59180" w14:textId="77777777" w:rsidR="000A6C66" w:rsidRDefault="00E0628E">
      <w:pPr>
        <w:pStyle w:val="Nadpis1"/>
        <w:ind w:left="531" w:right="534"/>
        <w:jc w:val="center"/>
      </w:pPr>
      <w:r>
        <w:t>INFORMÁCIA O VÝSLEDKU VYHODNOTENIA PONÚK</w:t>
      </w:r>
    </w:p>
    <w:p w14:paraId="319BB334" w14:textId="77777777" w:rsidR="000A6C66" w:rsidRDefault="00E0628E">
      <w:pPr>
        <w:spacing w:before="40"/>
        <w:ind w:left="534" w:right="534"/>
        <w:jc w:val="center"/>
        <w:rPr>
          <w:b/>
        </w:rPr>
      </w:pPr>
      <w:r>
        <w:rPr>
          <w:b/>
        </w:rPr>
        <w:t>A PORADIE UCHÁDZAČOV</w:t>
      </w:r>
    </w:p>
    <w:p w14:paraId="3D36B000" w14:textId="77777777" w:rsidR="000A6C66" w:rsidRDefault="00E0628E">
      <w:pPr>
        <w:pStyle w:val="Zkladntext"/>
        <w:spacing w:before="37" w:line="276" w:lineRule="auto"/>
        <w:ind w:left="536" w:right="534"/>
        <w:jc w:val="center"/>
      </w:pPr>
      <w:r>
        <w:t>podľa § 55 ods. 2 zákona č. 343/2015 Z. z. o verejnom obstarávaní a o zmene a doplnení niektorých zákonov v znení neskorších predpisov</w:t>
      </w:r>
    </w:p>
    <w:p w14:paraId="760ACF3B" w14:textId="77777777" w:rsidR="000A6C66" w:rsidRDefault="00E0628E">
      <w:pPr>
        <w:pStyle w:val="Zkladntext"/>
        <w:spacing w:before="2"/>
        <w:ind w:left="535" w:right="534"/>
        <w:jc w:val="center"/>
      </w:pPr>
      <w:r>
        <w:t>(ďalej len „zákon o verejnom obstarávaní“)</w:t>
      </w:r>
    </w:p>
    <w:p w14:paraId="17BD0578" w14:textId="77777777" w:rsidR="000A6C66" w:rsidRDefault="000A6C66">
      <w:pPr>
        <w:pStyle w:val="Zkladntext"/>
        <w:spacing w:before="0"/>
        <w:rPr>
          <w:sz w:val="26"/>
        </w:rPr>
      </w:pPr>
    </w:p>
    <w:p w14:paraId="498789F6" w14:textId="77777777" w:rsidR="000A6C66" w:rsidRDefault="000A6C66">
      <w:pPr>
        <w:pStyle w:val="Zkladntext"/>
        <w:spacing w:before="9"/>
        <w:rPr>
          <w:sz w:val="27"/>
        </w:rPr>
      </w:pPr>
    </w:p>
    <w:p w14:paraId="6FC47323" w14:textId="77777777" w:rsidR="000A6C66" w:rsidRDefault="00E0628E">
      <w:pPr>
        <w:pStyle w:val="Nadpis1"/>
        <w:tabs>
          <w:tab w:val="left" w:pos="3656"/>
        </w:tabs>
      </w:pPr>
      <w:r>
        <w:t>Verejný</w:t>
      </w:r>
      <w:r>
        <w:rPr>
          <w:spacing w:val="-2"/>
        </w:rPr>
        <w:t xml:space="preserve"> </w:t>
      </w:r>
      <w:r>
        <w:t>obstarávateľ:</w:t>
      </w:r>
      <w:r>
        <w:tab/>
        <w:t>Národná banka</w:t>
      </w:r>
      <w:r>
        <w:rPr>
          <w:spacing w:val="-3"/>
        </w:rPr>
        <w:t xml:space="preserve"> </w:t>
      </w:r>
      <w:r>
        <w:t>Slovenska</w:t>
      </w:r>
    </w:p>
    <w:p w14:paraId="5E81FE93" w14:textId="77777777" w:rsidR="000A6C66" w:rsidRDefault="000A6C66">
      <w:pPr>
        <w:pStyle w:val="Zkladntext"/>
        <w:spacing w:before="7"/>
        <w:rPr>
          <w:b/>
          <w:sz w:val="28"/>
        </w:rPr>
      </w:pPr>
    </w:p>
    <w:p w14:paraId="3C1026CB" w14:textId="77777777" w:rsidR="000A6C66" w:rsidRDefault="00E0628E">
      <w:pPr>
        <w:tabs>
          <w:tab w:val="left" w:pos="3656"/>
        </w:tabs>
        <w:ind w:left="116"/>
      </w:pPr>
      <w:r>
        <w:rPr>
          <w:b/>
        </w:rPr>
        <w:t>Sídlo</w:t>
      </w:r>
      <w:r>
        <w:rPr>
          <w:b/>
          <w:spacing w:val="-2"/>
        </w:rPr>
        <w:t xml:space="preserve"> </w:t>
      </w:r>
      <w:r>
        <w:rPr>
          <w:b/>
        </w:rPr>
        <w:t>verejného</w:t>
      </w:r>
      <w:r>
        <w:rPr>
          <w:b/>
          <w:spacing w:val="-2"/>
        </w:rPr>
        <w:t xml:space="preserve"> </w:t>
      </w:r>
      <w:r>
        <w:rPr>
          <w:b/>
        </w:rPr>
        <w:t>obstarávateľa</w:t>
      </w:r>
      <w:r>
        <w:t>:</w:t>
      </w:r>
      <w:r>
        <w:tab/>
        <w:t xml:space="preserve">Imricha </w:t>
      </w:r>
      <w:proofErr w:type="spellStart"/>
      <w:r>
        <w:t>Karvaša</w:t>
      </w:r>
      <w:proofErr w:type="spellEnd"/>
      <w:r>
        <w:t xml:space="preserve"> 1, 813 25</w:t>
      </w:r>
      <w:r>
        <w:rPr>
          <w:spacing w:val="-1"/>
        </w:rPr>
        <w:t xml:space="preserve"> </w:t>
      </w:r>
      <w:r>
        <w:t>Bratislava</w:t>
      </w:r>
    </w:p>
    <w:p w14:paraId="52AD07F8" w14:textId="77777777" w:rsidR="000A6C66" w:rsidRDefault="000A6C66">
      <w:pPr>
        <w:pStyle w:val="Zkladntext"/>
        <w:spacing w:before="1"/>
        <w:rPr>
          <w:sz w:val="25"/>
        </w:rPr>
      </w:pPr>
    </w:p>
    <w:p w14:paraId="4D768E98" w14:textId="33B4A966" w:rsidR="000A6C66" w:rsidRDefault="00E0628E" w:rsidP="00E72A84">
      <w:pPr>
        <w:tabs>
          <w:tab w:val="left" w:pos="3656"/>
        </w:tabs>
        <w:ind w:left="116"/>
        <w:jc w:val="both"/>
        <w:rPr>
          <w:rFonts w:cs="Arial"/>
          <w:b/>
          <w:bCs/>
        </w:rPr>
      </w:pPr>
      <w:r>
        <w:rPr>
          <w:b/>
        </w:rPr>
        <w:t>Predmet zákazky:</w:t>
      </w:r>
      <w:r>
        <w:rPr>
          <w:b/>
        </w:rPr>
        <w:tab/>
      </w:r>
      <w:bookmarkStart w:id="0" w:name="_Hlk169076221"/>
      <w:r w:rsidR="00E72A84" w:rsidRPr="00E72A84">
        <w:rPr>
          <w:rFonts w:cs="Arial"/>
        </w:rPr>
        <w:t xml:space="preserve">Organizácia podujatia EFA 2024 – </w:t>
      </w:r>
      <w:proofErr w:type="spellStart"/>
      <w:r w:rsidR="00E72A84" w:rsidRPr="00E72A84">
        <w:rPr>
          <w:rFonts w:cs="Arial"/>
        </w:rPr>
        <w:t>European</w:t>
      </w:r>
      <w:proofErr w:type="spellEnd"/>
      <w:r w:rsidR="00E72A84" w:rsidRPr="00E72A84">
        <w:rPr>
          <w:rFonts w:cs="Arial"/>
        </w:rPr>
        <w:t xml:space="preserve"> </w:t>
      </w:r>
      <w:proofErr w:type="spellStart"/>
      <w:r w:rsidR="00E72A84" w:rsidRPr="00E72A84">
        <w:rPr>
          <w:rFonts w:cs="Arial"/>
        </w:rPr>
        <w:t>Finance</w:t>
      </w:r>
      <w:proofErr w:type="spellEnd"/>
      <w:r w:rsidR="00E72A84" w:rsidRPr="00E72A84">
        <w:rPr>
          <w:rFonts w:cs="Arial"/>
        </w:rPr>
        <w:t xml:space="preserve"> </w:t>
      </w:r>
      <w:r w:rsidR="00E72A84" w:rsidRPr="00E72A84">
        <w:rPr>
          <w:rFonts w:cs="Arial"/>
        </w:rPr>
        <w:tab/>
        <w:t xml:space="preserve">Association, 51st </w:t>
      </w:r>
      <w:proofErr w:type="spellStart"/>
      <w:r w:rsidR="00E72A84" w:rsidRPr="00E72A84">
        <w:rPr>
          <w:rFonts w:cs="Arial"/>
        </w:rPr>
        <w:t>Annual</w:t>
      </w:r>
      <w:proofErr w:type="spellEnd"/>
      <w:r w:rsidR="00E72A84" w:rsidRPr="00E72A84">
        <w:rPr>
          <w:rFonts w:cs="Arial"/>
        </w:rPr>
        <w:t xml:space="preserve"> </w:t>
      </w:r>
      <w:proofErr w:type="spellStart"/>
      <w:r w:rsidR="00E72A84" w:rsidRPr="00E72A84">
        <w:rPr>
          <w:rFonts w:cs="Arial"/>
        </w:rPr>
        <w:t>Meeting</w:t>
      </w:r>
      <w:proofErr w:type="spellEnd"/>
      <w:r w:rsidR="00E72A84" w:rsidRPr="00E72A84">
        <w:rPr>
          <w:rFonts w:cs="Arial"/>
        </w:rPr>
        <w:t xml:space="preserve"> 21. </w:t>
      </w:r>
      <w:r w:rsidR="00670494">
        <w:rPr>
          <w:rFonts w:cs="Arial"/>
        </w:rPr>
        <w:t>–</w:t>
      </w:r>
      <w:r w:rsidR="00E72A84" w:rsidRPr="00E72A84">
        <w:rPr>
          <w:rFonts w:cs="Arial"/>
        </w:rPr>
        <w:t xml:space="preserve"> 24. August 2024</w:t>
      </w:r>
      <w:bookmarkEnd w:id="0"/>
      <w:r w:rsidR="00E72A84" w:rsidRPr="00E72A84">
        <w:rPr>
          <w:rFonts w:cs="Arial"/>
        </w:rPr>
        <w:t>–</w:t>
      </w:r>
      <w:r w:rsidR="00E72A84">
        <w:rPr>
          <w:rFonts w:cs="Arial"/>
          <w:b/>
          <w:bCs/>
        </w:rPr>
        <w:tab/>
      </w:r>
      <w:r w:rsidR="00AC4BAA">
        <w:rPr>
          <w:rFonts w:cs="Arial"/>
        </w:rPr>
        <w:t>Večerná</w:t>
      </w:r>
      <w:r w:rsidR="00E72A84" w:rsidRPr="00E72A84">
        <w:rPr>
          <w:rFonts w:cs="Arial"/>
        </w:rPr>
        <w:t xml:space="preserve"> časť</w:t>
      </w:r>
    </w:p>
    <w:p w14:paraId="50FE8A44" w14:textId="77777777" w:rsidR="00E72A84" w:rsidRDefault="00E72A84" w:rsidP="00E72A84">
      <w:pPr>
        <w:tabs>
          <w:tab w:val="left" w:pos="3656"/>
        </w:tabs>
        <w:ind w:left="116"/>
        <w:rPr>
          <w:sz w:val="25"/>
        </w:rPr>
      </w:pPr>
    </w:p>
    <w:p w14:paraId="58493E1A" w14:textId="77777777" w:rsidR="000A6C66" w:rsidRDefault="00E0628E">
      <w:pPr>
        <w:tabs>
          <w:tab w:val="left" w:pos="3540"/>
        </w:tabs>
        <w:ind w:right="114"/>
        <w:jc w:val="right"/>
      </w:pPr>
      <w:r>
        <w:rPr>
          <w:b/>
        </w:rPr>
        <w:t>Postup</w:t>
      </w:r>
      <w:r>
        <w:rPr>
          <w:b/>
          <w:spacing w:val="-4"/>
        </w:rPr>
        <w:t xml:space="preserve"> </w:t>
      </w:r>
      <w:r>
        <w:rPr>
          <w:b/>
        </w:rPr>
        <w:t>verejného</w:t>
      </w:r>
      <w:r>
        <w:rPr>
          <w:b/>
          <w:spacing w:val="-2"/>
        </w:rPr>
        <w:t xml:space="preserve"> </w:t>
      </w:r>
      <w:r>
        <w:rPr>
          <w:b/>
        </w:rPr>
        <w:t>obstarávania:</w:t>
      </w:r>
      <w:r>
        <w:rPr>
          <w:b/>
        </w:rPr>
        <w:tab/>
      </w:r>
      <w:r>
        <w:t>Nadlimitná</w:t>
      </w:r>
      <w:r>
        <w:rPr>
          <w:spacing w:val="30"/>
        </w:rPr>
        <w:t xml:space="preserve"> </w:t>
      </w:r>
      <w:r>
        <w:t>zákazka,</w:t>
      </w:r>
      <w:r>
        <w:rPr>
          <w:spacing w:val="29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66</w:t>
      </w:r>
      <w:r>
        <w:rPr>
          <w:spacing w:val="29"/>
        </w:rPr>
        <w:t xml:space="preserve"> </w:t>
      </w:r>
      <w:r>
        <w:t>zákona</w:t>
      </w:r>
      <w:r>
        <w:rPr>
          <w:spacing w:val="3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</w:t>
      </w:r>
      <w:r>
        <w:rPr>
          <w:spacing w:val="30"/>
        </w:rPr>
        <w:t xml:space="preserve"> </w:t>
      </w:r>
      <w:r>
        <w:t>obstarávaní</w:t>
      </w:r>
    </w:p>
    <w:p w14:paraId="0CE03FF8" w14:textId="77777777" w:rsidR="000A6C66" w:rsidRDefault="00E0628E">
      <w:pPr>
        <w:pStyle w:val="Zkladntext"/>
        <w:spacing w:before="37"/>
        <w:ind w:right="113"/>
        <w:jc w:val="right"/>
      </w:pPr>
      <w:r>
        <w:t>postupom</w:t>
      </w:r>
      <w:r>
        <w:rPr>
          <w:spacing w:val="29"/>
        </w:rPr>
        <w:t xml:space="preserve"> </w:t>
      </w:r>
      <w:r>
        <w:t>podľa</w:t>
      </w:r>
      <w:r>
        <w:rPr>
          <w:spacing w:val="31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66</w:t>
      </w:r>
      <w:r>
        <w:rPr>
          <w:spacing w:val="29"/>
        </w:rPr>
        <w:t xml:space="preserve"> </w:t>
      </w:r>
      <w:r>
        <w:t>ods.</w:t>
      </w:r>
      <w:r>
        <w:rPr>
          <w:spacing w:val="31"/>
        </w:rPr>
        <w:t xml:space="preserve"> </w:t>
      </w:r>
      <w:r>
        <w:t>7</w:t>
      </w:r>
      <w:r>
        <w:rPr>
          <w:spacing w:val="31"/>
        </w:rPr>
        <w:t xml:space="preserve"> </w:t>
      </w:r>
      <w:r>
        <w:t>písm.</w:t>
      </w:r>
      <w:r>
        <w:rPr>
          <w:spacing w:val="31"/>
        </w:rPr>
        <w:t xml:space="preserve"> </w:t>
      </w:r>
      <w:r>
        <w:t>b)</w:t>
      </w:r>
      <w:r>
        <w:rPr>
          <w:spacing w:val="31"/>
        </w:rPr>
        <w:t xml:space="preserve"> </w:t>
      </w:r>
      <w:r>
        <w:t>zákona</w:t>
      </w:r>
      <w:r>
        <w:rPr>
          <w:spacing w:val="3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verejnom</w:t>
      </w:r>
    </w:p>
    <w:p w14:paraId="1202BC60" w14:textId="4DAD85BE" w:rsidR="000A6C66" w:rsidRDefault="00E0628E">
      <w:pPr>
        <w:pStyle w:val="Zkladntext"/>
        <w:spacing w:before="40"/>
        <w:ind w:left="536" w:right="1411"/>
        <w:jc w:val="center"/>
      </w:pPr>
      <w:r>
        <w:t>obstarávaní</w:t>
      </w:r>
    </w:p>
    <w:p w14:paraId="125589F9" w14:textId="77777777" w:rsidR="0021377A" w:rsidRDefault="0021377A">
      <w:pPr>
        <w:pStyle w:val="Nadpis1"/>
        <w:spacing w:before="35"/>
        <w:jc w:val="both"/>
      </w:pPr>
    </w:p>
    <w:p w14:paraId="0E0179F5" w14:textId="114B5701" w:rsidR="000A6C66" w:rsidRDefault="00E0628E">
      <w:pPr>
        <w:pStyle w:val="Nadpis1"/>
        <w:spacing w:before="35"/>
        <w:jc w:val="both"/>
      </w:pPr>
      <w:r>
        <w:t>Označenie v Úradnom vestníku EÚ</w:t>
      </w:r>
    </w:p>
    <w:p w14:paraId="081F273C" w14:textId="05657CE4" w:rsidR="000A6C66" w:rsidRDefault="00E0628E" w:rsidP="00E72A84">
      <w:pPr>
        <w:tabs>
          <w:tab w:val="left" w:pos="3686"/>
        </w:tabs>
        <w:spacing w:before="1" w:line="257" w:lineRule="exact"/>
        <w:ind w:left="116"/>
        <w:jc w:val="both"/>
        <w:rPr>
          <w:sz w:val="25"/>
        </w:rPr>
      </w:pPr>
      <w:r>
        <w:rPr>
          <w:b/>
        </w:rPr>
        <w:t xml:space="preserve">a vo Vestníku VO vedeného ÚVO: </w:t>
      </w:r>
      <w:r w:rsidR="0021377A">
        <w:rPr>
          <w:b/>
        </w:rPr>
        <w:tab/>
      </w:r>
      <w:r w:rsidR="00E72A84" w:rsidRPr="00B544DC">
        <w:rPr>
          <w:rFonts w:eastAsia="Times New Roman"/>
        </w:rPr>
        <w:t>Oznámenie o vyhlásení verejného obstarávania</w:t>
      </w:r>
      <w:r w:rsidR="00A40E51">
        <w:rPr>
          <w:rFonts w:eastAsia="Times New Roman"/>
        </w:rPr>
        <w:t xml:space="preserve"> zverejnené</w:t>
      </w:r>
      <w:r w:rsidR="00E72A84" w:rsidRPr="00B544DC">
        <w:rPr>
          <w:rFonts w:eastAsia="Times New Roman"/>
        </w:rPr>
        <w:t xml:space="preserve"> v Úradnom </w:t>
      </w:r>
      <w:r w:rsidR="00E72A84">
        <w:rPr>
          <w:rFonts w:eastAsia="Times New Roman"/>
        </w:rPr>
        <w:tab/>
      </w:r>
      <w:r w:rsidR="00E72A84" w:rsidRPr="00B544DC">
        <w:rPr>
          <w:rFonts w:eastAsia="Times New Roman"/>
        </w:rPr>
        <w:t xml:space="preserve">vestníku EÚ č. </w:t>
      </w:r>
      <w:r w:rsidR="00E72A84" w:rsidRPr="00B544DC">
        <w:rPr>
          <w:rFonts w:cs="Arial"/>
        </w:rPr>
        <w:t xml:space="preserve">75/2024 </w:t>
      </w:r>
      <w:r w:rsidR="00E72A84" w:rsidRPr="00B544DC">
        <w:rPr>
          <w:rFonts w:cs="Arial"/>
          <w:bCs/>
        </w:rPr>
        <w:t>zo dňa 16.</w:t>
      </w:r>
      <w:r w:rsidR="00670494">
        <w:rPr>
          <w:rFonts w:cs="Arial"/>
          <w:bCs/>
        </w:rPr>
        <w:t xml:space="preserve"> </w:t>
      </w:r>
      <w:r w:rsidR="00E72A84" w:rsidRPr="00B544DC">
        <w:rPr>
          <w:rFonts w:cs="Arial"/>
          <w:bCs/>
        </w:rPr>
        <w:t>04.</w:t>
      </w:r>
      <w:r w:rsidR="00670494">
        <w:rPr>
          <w:rFonts w:cs="Arial"/>
          <w:bCs/>
        </w:rPr>
        <w:t xml:space="preserve"> </w:t>
      </w:r>
      <w:r w:rsidR="00E72A84" w:rsidRPr="00B544DC">
        <w:rPr>
          <w:rFonts w:cs="Arial"/>
          <w:bCs/>
        </w:rPr>
        <w:t>2024 pod číslom</w:t>
      </w:r>
      <w:r w:rsidR="00E72A84" w:rsidRPr="00B544DC">
        <w:rPr>
          <w:rFonts w:eastAsia="Times New Roman"/>
        </w:rPr>
        <w:t xml:space="preserve"> </w:t>
      </w:r>
      <w:r w:rsidR="00E72A84">
        <w:rPr>
          <w:rFonts w:eastAsia="Times New Roman"/>
        </w:rPr>
        <w:tab/>
      </w:r>
      <w:bookmarkStart w:id="1" w:name="_Hlk169076184"/>
      <w:r w:rsidR="00E72A84" w:rsidRPr="00B544DC">
        <w:rPr>
          <w:rFonts w:cs="Arial"/>
        </w:rPr>
        <w:t>224501-</w:t>
      </w:r>
      <w:r w:rsidR="00E72A84" w:rsidRPr="00B544DC">
        <w:rPr>
          <w:rFonts w:eastAsia="Times New Roman"/>
        </w:rPr>
        <w:t xml:space="preserve">2024 </w:t>
      </w:r>
      <w:bookmarkEnd w:id="1"/>
      <w:r w:rsidR="00E72A84" w:rsidRPr="00B544DC">
        <w:rPr>
          <w:rFonts w:cs="Arial"/>
        </w:rPr>
        <w:t xml:space="preserve">a vo Vestníku verejného </w:t>
      </w:r>
      <w:r w:rsidR="00E72A84" w:rsidRPr="00B544DC">
        <w:rPr>
          <w:rFonts w:cs="Arial"/>
          <w:iCs/>
        </w:rPr>
        <w:t>obstarávania</w:t>
      </w:r>
      <w:r w:rsidR="00E72A84" w:rsidRPr="00B544DC">
        <w:rPr>
          <w:rFonts w:cs="Arial"/>
        </w:rPr>
        <w:t xml:space="preserve"> </w:t>
      </w:r>
      <w:r w:rsidR="00E72A84">
        <w:rPr>
          <w:rFonts w:cs="Arial"/>
        </w:rPr>
        <w:tab/>
      </w:r>
      <w:r w:rsidR="00E72A84" w:rsidRPr="00B544DC">
        <w:rPr>
          <w:rFonts w:eastAsia="Times New Roman" w:cs="Arial"/>
          <w:bCs/>
        </w:rPr>
        <w:t>75/2024 zo dňa 17.</w:t>
      </w:r>
      <w:r w:rsidR="00670494">
        <w:rPr>
          <w:rFonts w:eastAsia="Times New Roman" w:cs="Arial"/>
          <w:bCs/>
        </w:rPr>
        <w:t xml:space="preserve"> </w:t>
      </w:r>
      <w:r w:rsidR="00E72A84" w:rsidRPr="00B544DC">
        <w:rPr>
          <w:rFonts w:eastAsia="Times New Roman" w:cs="Arial"/>
          <w:bCs/>
        </w:rPr>
        <w:t>04.</w:t>
      </w:r>
      <w:r w:rsidR="00670494">
        <w:rPr>
          <w:rFonts w:eastAsia="Times New Roman" w:cs="Arial"/>
          <w:bCs/>
        </w:rPr>
        <w:t xml:space="preserve"> </w:t>
      </w:r>
      <w:r w:rsidR="00E72A84" w:rsidRPr="00B544DC">
        <w:rPr>
          <w:rFonts w:eastAsia="Times New Roman" w:cs="Arial"/>
          <w:bCs/>
        </w:rPr>
        <w:t>2024 pod číslom 10503-MSS</w:t>
      </w:r>
      <w:r w:rsidR="00E72A84" w:rsidRPr="00B544DC">
        <w:t>.</w:t>
      </w:r>
    </w:p>
    <w:p w14:paraId="59E39AB2" w14:textId="77777777" w:rsidR="00D3183C" w:rsidRDefault="00D3183C">
      <w:pPr>
        <w:pStyle w:val="Zkladntext"/>
        <w:rPr>
          <w:sz w:val="25"/>
        </w:rPr>
      </w:pPr>
    </w:p>
    <w:p w14:paraId="2E30D169" w14:textId="77777777" w:rsidR="000A6C66" w:rsidRDefault="00E0628E">
      <w:pPr>
        <w:pStyle w:val="Nadpis1"/>
        <w:numPr>
          <w:ilvl w:val="0"/>
          <w:numId w:val="1"/>
        </w:numPr>
        <w:tabs>
          <w:tab w:val="left" w:pos="400"/>
        </w:tabs>
        <w:rPr>
          <w:sz w:val="24"/>
        </w:rPr>
      </w:pPr>
      <w:bookmarkStart w:id="2" w:name="_Hlk169082934"/>
      <w:r>
        <w:t>Identifikačné údaje úspešného</w:t>
      </w:r>
      <w:r>
        <w:rPr>
          <w:spacing w:val="-3"/>
        </w:rPr>
        <w:t xml:space="preserve"> </w:t>
      </w:r>
      <w:r>
        <w:t>uchádzača:</w:t>
      </w:r>
    </w:p>
    <w:p w14:paraId="70C25D8D" w14:textId="77777777" w:rsidR="00AC4BAA" w:rsidRPr="00AC4BAA" w:rsidRDefault="00AC4BAA" w:rsidP="00AC4BAA">
      <w:pPr>
        <w:spacing w:before="80"/>
        <w:ind w:left="426"/>
        <w:rPr>
          <w:b/>
          <w:bCs/>
          <w:lang w:eastAsia="en-US"/>
        </w:rPr>
      </w:pPr>
      <w:r w:rsidRPr="00AC4BAA">
        <w:rPr>
          <w:b/>
          <w:bCs/>
          <w:lang w:eastAsia="en-US"/>
        </w:rPr>
        <w:t>VIVA EVENTS, s.r.o.</w:t>
      </w:r>
    </w:p>
    <w:p w14:paraId="6B8BDCC9" w14:textId="77777777" w:rsidR="00AC4BAA" w:rsidRPr="00AC4BAA" w:rsidRDefault="00AC4BAA" w:rsidP="00AC4BAA">
      <w:pPr>
        <w:spacing w:before="80"/>
        <w:ind w:left="426"/>
        <w:rPr>
          <w:lang w:eastAsia="en-US"/>
        </w:rPr>
      </w:pPr>
      <w:r w:rsidRPr="00AC4BAA">
        <w:rPr>
          <w:lang w:eastAsia="en-US"/>
        </w:rPr>
        <w:t xml:space="preserve">Kľukatá 41, 821 05 Bratislava - mestská časť Ružinov </w:t>
      </w:r>
    </w:p>
    <w:p w14:paraId="17198018" w14:textId="28B4AC7F" w:rsidR="00E153DC" w:rsidRDefault="00AC4BAA" w:rsidP="00AC4BAA">
      <w:pPr>
        <w:spacing w:before="80"/>
        <w:ind w:left="426"/>
        <w:rPr>
          <w:lang w:eastAsia="en-US"/>
        </w:rPr>
      </w:pPr>
      <w:r w:rsidRPr="00AC4BAA">
        <w:rPr>
          <w:lang w:eastAsia="en-US"/>
        </w:rPr>
        <w:t xml:space="preserve">IČO: 51154765 </w:t>
      </w:r>
      <w:bookmarkEnd w:id="2"/>
    </w:p>
    <w:p w14:paraId="5980857B" w14:textId="77777777" w:rsidR="00AC4BAA" w:rsidRDefault="00AC4BAA" w:rsidP="00AC4BAA">
      <w:pPr>
        <w:spacing w:before="80"/>
        <w:rPr>
          <w:b/>
          <w:sz w:val="28"/>
        </w:rPr>
      </w:pPr>
    </w:p>
    <w:p w14:paraId="7E06443E" w14:textId="77777777" w:rsidR="000A6C66" w:rsidRPr="0021377A" w:rsidRDefault="00E0628E" w:rsidP="00E153DC">
      <w:pPr>
        <w:pStyle w:val="Nadpis1"/>
        <w:numPr>
          <w:ilvl w:val="0"/>
          <w:numId w:val="1"/>
        </w:numPr>
        <w:tabs>
          <w:tab w:val="left" w:pos="400"/>
        </w:tabs>
      </w:pPr>
      <w:r w:rsidRPr="0021377A">
        <w:t>Informácia o charakteristikách a výhodách prijatej</w:t>
      </w:r>
      <w:r w:rsidRPr="0021377A">
        <w:rPr>
          <w:spacing w:val="-6"/>
        </w:rPr>
        <w:t xml:space="preserve"> </w:t>
      </w:r>
      <w:r w:rsidRPr="0021377A">
        <w:t>ponuky:</w:t>
      </w:r>
    </w:p>
    <w:p w14:paraId="6F0A53F1" w14:textId="18965C63" w:rsidR="009C4E02" w:rsidRDefault="00E0628E">
      <w:pPr>
        <w:pStyle w:val="Zkladntext"/>
        <w:spacing w:before="157" w:line="276" w:lineRule="auto"/>
        <w:ind w:left="116" w:right="112"/>
        <w:jc w:val="both"/>
        <w:rPr>
          <w:bCs/>
        </w:rPr>
      </w:pPr>
      <w:r>
        <w:t>Verejný</w:t>
      </w:r>
      <w:r>
        <w:rPr>
          <w:spacing w:val="-11"/>
        </w:rPr>
        <w:t xml:space="preserve"> </w:t>
      </w:r>
      <w:r>
        <w:t>obstarávateľ</w:t>
      </w:r>
      <w:r>
        <w:rPr>
          <w:spacing w:val="-10"/>
        </w:rPr>
        <w:t xml:space="preserve"> </w:t>
      </w:r>
      <w:r w:rsidR="00E153DC">
        <w:t>vyhodnotil</w:t>
      </w:r>
      <w:r>
        <w:rPr>
          <w:spacing w:val="-10"/>
        </w:rPr>
        <w:t xml:space="preserve"> </w:t>
      </w:r>
      <w:r w:rsidR="00E153DC">
        <w:rPr>
          <w:spacing w:val="-10"/>
        </w:rPr>
        <w:t>n</w:t>
      </w:r>
      <w:r w:rsidR="00E153DC" w:rsidRPr="00E153DC">
        <w:rPr>
          <w:bCs/>
        </w:rPr>
        <w:t>a základe stanoven</w:t>
      </w:r>
      <w:r w:rsidR="00EF0DD7">
        <w:rPr>
          <w:bCs/>
        </w:rPr>
        <w:t>ých</w:t>
      </w:r>
      <w:r w:rsidR="00E153DC" w:rsidRPr="00E153DC">
        <w:rPr>
          <w:bCs/>
        </w:rPr>
        <w:t xml:space="preserve"> kritéri</w:t>
      </w:r>
      <w:r w:rsidR="00EF0DD7">
        <w:rPr>
          <w:bCs/>
        </w:rPr>
        <w:t xml:space="preserve">í </w:t>
      </w:r>
      <w:r w:rsidR="00E153DC">
        <w:rPr>
          <w:bCs/>
        </w:rPr>
        <w:t>ponuku</w:t>
      </w:r>
      <w:r w:rsidR="00E153DC" w:rsidRPr="00E153DC">
        <w:rPr>
          <w:bCs/>
        </w:rPr>
        <w:t xml:space="preserve"> uchádzača č. </w:t>
      </w:r>
      <w:r w:rsidR="00B56AB4">
        <w:rPr>
          <w:bCs/>
        </w:rPr>
        <w:t>1</w:t>
      </w:r>
      <w:r w:rsidR="00E153DC" w:rsidRPr="00E153DC">
        <w:rPr>
          <w:bCs/>
        </w:rPr>
        <w:t xml:space="preserve"> ako úspešn</w:t>
      </w:r>
      <w:r w:rsidR="00E153DC">
        <w:rPr>
          <w:bCs/>
        </w:rPr>
        <w:t>ú</w:t>
      </w:r>
      <w:r w:rsidR="00E153DC" w:rsidRPr="00E153DC">
        <w:rPr>
          <w:bCs/>
        </w:rPr>
        <w:t>, nakoľko</w:t>
      </w:r>
      <w:r w:rsidR="00EF0DD7">
        <w:rPr>
          <w:bCs/>
        </w:rPr>
        <w:t xml:space="preserve"> tento uchádzač predložil ponuku s najlepším pomerom ceny (70</w:t>
      </w:r>
      <w:r w:rsidR="00670494">
        <w:rPr>
          <w:bCs/>
        </w:rPr>
        <w:t xml:space="preserve"> </w:t>
      </w:r>
      <w:r w:rsidR="00EF0DD7">
        <w:rPr>
          <w:bCs/>
        </w:rPr>
        <w:t>%) a kvality (30</w:t>
      </w:r>
      <w:r w:rsidR="00670494">
        <w:rPr>
          <w:bCs/>
        </w:rPr>
        <w:t xml:space="preserve"> </w:t>
      </w:r>
      <w:r w:rsidR="00EF0DD7">
        <w:rPr>
          <w:bCs/>
        </w:rPr>
        <w:t xml:space="preserve">%). </w:t>
      </w:r>
      <w:r w:rsidR="005D748E">
        <w:rPr>
          <w:bCs/>
        </w:rPr>
        <w:t xml:space="preserve">V rámci vyhodnotenia kritéria najnižšej ceny sa táto ponuka umiestnila na </w:t>
      </w:r>
      <w:r w:rsidR="00F1748B">
        <w:rPr>
          <w:bCs/>
        </w:rPr>
        <w:t>1</w:t>
      </w:r>
      <w:r w:rsidR="005D748E">
        <w:rPr>
          <w:bCs/>
        </w:rPr>
        <w:t xml:space="preserve">. mieste a pri hodnotení kvality konceptu sa umiestnila na </w:t>
      </w:r>
      <w:r w:rsidR="00F1748B">
        <w:rPr>
          <w:bCs/>
        </w:rPr>
        <w:t>druhom</w:t>
      </w:r>
      <w:r w:rsidR="005D748E">
        <w:rPr>
          <w:bCs/>
        </w:rPr>
        <w:t xml:space="preserve"> mieste</w:t>
      </w:r>
      <w:r w:rsidR="00F1748B">
        <w:rPr>
          <w:bCs/>
        </w:rPr>
        <w:t>.</w:t>
      </w:r>
      <w:r w:rsidR="005D748E">
        <w:rPr>
          <w:bCs/>
        </w:rPr>
        <w:t xml:space="preserve"> </w:t>
      </w:r>
      <w:bookmarkStart w:id="3" w:name="_Hlk169079599"/>
    </w:p>
    <w:p w14:paraId="7E35E82D" w14:textId="77777777" w:rsidR="00B56AB4" w:rsidRDefault="00F1748B" w:rsidP="009C4E02">
      <w:pPr>
        <w:pStyle w:val="Zkladntext"/>
        <w:spacing w:before="157" w:line="276" w:lineRule="auto"/>
        <w:ind w:left="116" w:right="112"/>
        <w:jc w:val="both"/>
      </w:pPr>
      <w:bookmarkStart w:id="4" w:name="_Hlk169095329"/>
      <w:r>
        <w:rPr>
          <w:bCs/>
        </w:rPr>
        <w:t xml:space="preserve">Hodnotiaca komisia v rámci návrhu konceptu </w:t>
      </w:r>
      <w:r w:rsidR="005E4940">
        <w:rPr>
          <w:bCs/>
        </w:rPr>
        <w:t xml:space="preserve">hodnotila u úspešného uchádzača </w:t>
      </w:r>
      <w:r>
        <w:rPr>
          <w:bCs/>
        </w:rPr>
        <w:t xml:space="preserve">kladne, že návrh menu jedál v rámci podujatia Get </w:t>
      </w:r>
      <w:proofErr w:type="spellStart"/>
      <w:r>
        <w:rPr>
          <w:bCs/>
        </w:rPr>
        <w:t>together</w:t>
      </w:r>
      <w:proofErr w:type="spellEnd"/>
      <w:r>
        <w:rPr>
          <w:bCs/>
        </w:rPr>
        <w:t xml:space="preserve"> sa </w:t>
      </w:r>
      <w:r w:rsidR="009C4E02">
        <w:rPr>
          <w:bCs/>
        </w:rPr>
        <w:t xml:space="preserve">v pozitívnom zmysle </w:t>
      </w:r>
      <w:r>
        <w:rPr>
          <w:bCs/>
        </w:rPr>
        <w:t>od</w:t>
      </w:r>
      <w:r w:rsidR="009C4E02">
        <w:rPr>
          <w:bCs/>
        </w:rPr>
        <w:t>lišuje od návrhu menu ostatných uchádzačov</w:t>
      </w:r>
      <w:r w:rsidR="005E4940">
        <w:rPr>
          <w:bCs/>
        </w:rPr>
        <w:t>.</w:t>
      </w:r>
      <w:r w:rsidR="00B56AB4">
        <w:rPr>
          <w:bCs/>
        </w:rPr>
        <w:t xml:space="preserve"> Celkovo ide o menu, </w:t>
      </w:r>
      <w:r w:rsidR="00B56AB4">
        <w:t xml:space="preserve">do ktorého je moderným spôsobom zakomponovaný odkaz na slovenskú kuchyňu a je z neho zrejmá čerstvosť surovín. </w:t>
      </w:r>
    </w:p>
    <w:p w14:paraId="5DA9CF1F" w14:textId="77777777" w:rsidR="00B56AB4" w:rsidRDefault="009C4E02" w:rsidP="009C4E02">
      <w:pPr>
        <w:pStyle w:val="Zkladntext"/>
        <w:spacing w:before="157" w:line="276" w:lineRule="auto"/>
        <w:ind w:left="116" w:right="112"/>
        <w:jc w:val="both"/>
      </w:pPr>
      <w:r>
        <w:t xml:space="preserve">Pozitívne bol komisiou hodnotený aj návrh menu nápojov pre podujatie Get </w:t>
      </w:r>
      <w:proofErr w:type="spellStart"/>
      <w:r>
        <w:t>together</w:t>
      </w:r>
      <w:proofErr w:type="spellEnd"/>
      <w:r>
        <w:t xml:space="preserve">, ktoré obsahuje vyšší podiel lokálnych nápojov (napr. slovenský </w:t>
      </w:r>
      <w:proofErr w:type="spellStart"/>
      <w:r>
        <w:t>welcome</w:t>
      </w:r>
      <w:proofErr w:type="spellEnd"/>
      <w:r>
        <w:t xml:space="preserve"> drink, vrátane nealko verzie) a rozmanitú ponuku slovenských vín. </w:t>
      </w:r>
    </w:p>
    <w:p w14:paraId="743875BD" w14:textId="4F53D79F" w:rsidR="00B56AB4" w:rsidRDefault="009C4E02" w:rsidP="00B56AB4">
      <w:pPr>
        <w:pStyle w:val="Zkladntext"/>
        <w:spacing w:before="157" w:line="276" w:lineRule="auto"/>
        <w:ind w:left="116" w:right="112"/>
        <w:jc w:val="both"/>
      </w:pPr>
      <w:r>
        <w:lastRenderedPageBreak/>
        <w:t>Z hľadiska návrh</w:t>
      </w:r>
      <w:r w:rsidR="005E4940">
        <w:t>u</w:t>
      </w:r>
      <w:r>
        <w:t xml:space="preserve"> di</w:t>
      </w:r>
      <w:r w:rsidRPr="0082311B">
        <w:t>zajn</w:t>
      </w:r>
      <w:r>
        <w:t xml:space="preserve">u, </w:t>
      </w:r>
      <w:bookmarkStart w:id="5" w:name="_Hlk169099958"/>
      <w:r>
        <w:t xml:space="preserve">komisia </w:t>
      </w:r>
      <w:r w:rsidR="004E3B43">
        <w:t xml:space="preserve">navrhovaný </w:t>
      </w:r>
      <w:r>
        <w:t>dizajn</w:t>
      </w:r>
      <w:r w:rsidRPr="0082311B">
        <w:t xml:space="preserve"> </w:t>
      </w:r>
      <w:r>
        <w:t xml:space="preserve">priestorov </w:t>
      </w:r>
      <w:r w:rsidR="00B56AB4">
        <w:t xml:space="preserve">pre podujatie </w:t>
      </w:r>
      <w:r>
        <w:t xml:space="preserve">Get </w:t>
      </w:r>
      <w:proofErr w:type="spellStart"/>
      <w:r>
        <w:t>together</w:t>
      </w:r>
      <w:proofErr w:type="spellEnd"/>
      <w:r>
        <w:t xml:space="preserve"> hodnotila ako zaujímavý, pekný a nápaditý. Celkový </w:t>
      </w:r>
      <w:proofErr w:type="spellStart"/>
      <w:r>
        <w:t>layout</w:t>
      </w:r>
      <w:proofErr w:type="spellEnd"/>
      <w:r>
        <w:t xml:space="preserve">, vrátane vizualizácie priestorov, a to mokrej a suchej verzie je tiež </w:t>
      </w:r>
      <w:r w:rsidR="00B56AB4">
        <w:t xml:space="preserve">podľa komisie </w:t>
      </w:r>
      <w:r>
        <w:t xml:space="preserve">pekný. Na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 hodnotila komisia pozitívne zakomponovanie modrotlače, je to podľa nej použiteľné a funkčné (podobné farebnej </w:t>
      </w:r>
      <w:proofErr w:type="spellStart"/>
      <w:r>
        <w:t>vizualite</w:t>
      </w:r>
      <w:proofErr w:type="spellEnd"/>
      <w:r>
        <w:t xml:space="preserve"> EFA). </w:t>
      </w:r>
    </w:p>
    <w:bookmarkEnd w:id="5"/>
    <w:p w14:paraId="1A0D8AAA" w14:textId="58273298" w:rsidR="009C4E02" w:rsidRDefault="00B56AB4" w:rsidP="00B56AB4">
      <w:pPr>
        <w:pStyle w:val="Zkladntext"/>
        <w:spacing w:before="157" w:line="276" w:lineRule="auto"/>
        <w:ind w:left="116" w:right="112"/>
        <w:jc w:val="both"/>
      </w:pPr>
      <w:r>
        <w:t>N</w:t>
      </w:r>
      <w:r w:rsidR="009C4E02">
        <w:t xml:space="preserve">ávrhu programu komisia hodnotila pozitívne, </w:t>
      </w:r>
      <w:r>
        <w:t xml:space="preserve">a síce </w:t>
      </w:r>
      <w:r w:rsidR="009C4E02">
        <w:t xml:space="preserve">že </w:t>
      </w:r>
      <w:r w:rsidR="009C4E02" w:rsidRPr="009E71B0">
        <w:t xml:space="preserve">program podujatia </w:t>
      </w:r>
      <w:r w:rsidR="009C4E02">
        <w:t xml:space="preserve">Get </w:t>
      </w:r>
      <w:proofErr w:type="spellStart"/>
      <w:r w:rsidR="009C4E02" w:rsidRPr="009E71B0">
        <w:t>together</w:t>
      </w:r>
      <w:proofErr w:type="spellEnd"/>
      <w:r w:rsidR="009C4E02" w:rsidRPr="009E71B0">
        <w:t xml:space="preserve"> je navrhovaný v exteriéri potom, čo účastníci absolvujú denný konferenčný program v</w:t>
      </w:r>
      <w:r w:rsidR="005E4940">
        <w:t> </w:t>
      </w:r>
      <w:r w:rsidR="009C4E02" w:rsidRPr="009E71B0">
        <w:t>interiéri</w:t>
      </w:r>
      <w:r w:rsidR="005E4940">
        <w:t>.</w:t>
      </w:r>
      <w:r w:rsidR="005E4940" w:rsidRPr="009E71B0">
        <w:t xml:space="preserve"> </w:t>
      </w:r>
      <w:r w:rsidR="005E4940">
        <w:t xml:space="preserve">V rámci programu </w:t>
      </w:r>
      <w:r w:rsidR="009C4E02" w:rsidRPr="009E71B0">
        <w:t>pre Barokovú záhradu možno návrh hudobnej produkcie hodnotiť ako adekvátny</w:t>
      </w:r>
      <w:r w:rsidR="009C4E02">
        <w:t xml:space="preserve">. Rovnako pozitívne možno hodnotiť aj navrhovaných moderátorov s dobrým jazykovým vybavením a vystupovaním. Napokon u komisie neostalo bez povšimnutia, že </w:t>
      </w:r>
      <w:r w:rsidR="005E4940">
        <w:t xml:space="preserve">úspešný </w:t>
      </w:r>
      <w:r w:rsidR="009C4E02">
        <w:t>uchádzač ako jediný v koncepte pracoval aj s rozmiestnením a výškou stromov v Barokovej záhrade a snažil sa v tejto súvislosti zohľadniť aj umiestnenie pódia pre vystupujúcich umelcov (aby stromy nebránili vo výhľade).</w:t>
      </w:r>
    </w:p>
    <w:bookmarkEnd w:id="3"/>
    <w:bookmarkEnd w:id="4"/>
    <w:p w14:paraId="5174FEBA" w14:textId="3CF5221A" w:rsidR="000A6C66" w:rsidRDefault="005D748E">
      <w:pPr>
        <w:pStyle w:val="Zkladntext"/>
        <w:spacing w:before="157" w:line="276" w:lineRule="auto"/>
        <w:ind w:left="116" w:right="112"/>
        <w:jc w:val="both"/>
      </w:pPr>
      <w:r>
        <w:rPr>
          <w:bCs/>
        </w:rPr>
        <w:t>P</w:t>
      </w:r>
      <w:r w:rsidR="00EF0DD7">
        <w:rPr>
          <w:bCs/>
        </w:rPr>
        <w:t>onuka</w:t>
      </w:r>
      <w:r>
        <w:rPr>
          <w:bCs/>
        </w:rPr>
        <w:t xml:space="preserve"> úspešného uchádzača</w:t>
      </w:r>
      <w:r w:rsidR="00EF0DD7">
        <w:rPr>
          <w:bCs/>
        </w:rPr>
        <w:t xml:space="preserve"> zároveň splnila </w:t>
      </w:r>
      <w:r w:rsidR="00E153DC" w:rsidRPr="00E153DC">
        <w:rPr>
          <w:bCs/>
        </w:rPr>
        <w:t>všetky požiadavky stanovené verejným obstarávateľom na predmet zákazky a náležitosti ponuky</w:t>
      </w:r>
      <w:r w:rsidR="0010510E" w:rsidRPr="0010510E">
        <w:t xml:space="preserve"> </w:t>
      </w:r>
      <w:r w:rsidR="0010510E">
        <w:t>stanovené verejným obstarávateľom v Oznámení o vyhlásení verejného obstarávania a v súťažných</w:t>
      </w:r>
      <w:r w:rsidR="0010510E">
        <w:rPr>
          <w:spacing w:val="-4"/>
        </w:rPr>
        <w:t xml:space="preserve"> </w:t>
      </w:r>
      <w:r w:rsidR="0010510E">
        <w:t>podkladoch</w:t>
      </w:r>
      <w:r w:rsidR="00E153DC" w:rsidRPr="00E153DC">
        <w:rPr>
          <w:bCs/>
        </w:rPr>
        <w:t>, ktor</w:t>
      </w:r>
      <w:r w:rsidR="0010510E">
        <w:rPr>
          <w:bCs/>
        </w:rPr>
        <w:t>é</w:t>
      </w:r>
      <w:r w:rsidR="00E153DC" w:rsidRPr="00E153DC">
        <w:rPr>
          <w:bCs/>
        </w:rPr>
        <w:t xml:space="preserve"> verejný obstarávateľ vyhodnocoval podľa § 53 zákona o verejnom obstarávaní</w:t>
      </w:r>
      <w:r w:rsidR="00E0628E">
        <w:t>.</w:t>
      </w:r>
      <w:r>
        <w:t xml:space="preserve"> </w:t>
      </w:r>
    </w:p>
    <w:p w14:paraId="105CF752" w14:textId="77777777" w:rsidR="000A6C66" w:rsidRDefault="000A6C66">
      <w:pPr>
        <w:pStyle w:val="Zkladntext"/>
        <w:spacing w:before="4"/>
        <w:rPr>
          <w:sz w:val="25"/>
        </w:rPr>
      </w:pPr>
    </w:p>
    <w:p w14:paraId="5988BEC8" w14:textId="77777777" w:rsidR="000A6C66" w:rsidRDefault="00E0628E">
      <w:pPr>
        <w:pStyle w:val="Nadpis1"/>
        <w:numPr>
          <w:ilvl w:val="0"/>
          <w:numId w:val="1"/>
        </w:numPr>
        <w:tabs>
          <w:tab w:val="left" w:pos="359"/>
        </w:tabs>
        <w:ind w:left="358" w:hanging="243"/>
      </w:pPr>
      <w:r>
        <w:t>Výsledok vyhodnotenia splnenia podmienok účasti u úspešného</w:t>
      </w:r>
      <w:r>
        <w:rPr>
          <w:spacing w:val="-14"/>
        </w:rPr>
        <w:t xml:space="preserve"> </w:t>
      </w:r>
      <w:r>
        <w:t>uchádzača:</w:t>
      </w:r>
    </w:p>
    <w:p w14:paraId="14C93692" w14:textId="783DA825" w:rsidR="000A6C66" w:rsidRPr="00D3183C" w:rsidRDefault="00D3183C" w:rsidP="00D3183C">
      <w:pPr>
        <w:pStyle w:val="Zkladntext"/>
        <w:spacing w:before="160" w:line="276" w:lineRule="auto"/>
        <w:ind w:left="116" w:right="112"/>
        <w:jc w:val="both"/>
      </w:pPr>
      <w:bookmarkStart w:id="6" w:name="_Hlk169078673"/>
      <w:r>
        <w:t>Verejný obstarávateľ</w:t>
      </w:r>
      <w:r w:rsidR="00E0628E">
        <w:t xml:space="preserve"> v súlade s bodom </w:t>
      </w:r>
      <w:r w:rsidR="002656F4">
        <w:t>3</w:t>
      </w:r>
      <w:r w:rsidR="00041219">
        <w:t>6</w:t>
      </w:r>
      <w:r w:rsidR="00E0628E">
        <w:t xml:space="preserve"> časti A.1 </w:t>
      </w:r>
      <w:r w:rsidR="00E0628E">
        <w:rPr>
          <w:i/>
        </w:rPr>
        <w:t xml:space="preserve">„POKYNY NA VYPRACOVANIE PONUKY“ </w:t>
      </w:r>
      <w:r w:rsidR="00E0628E">
        <w:t xml:space="preserve">súťažných podkladov posúdil </w:t>
      </w:r>
      <w:r w:rsidRPr="00D3183C">
        <w:t>splnenie podmienok účasti u uchádzača, ktorý sa umiestnil na prvom mieste v poradí na základe kritérií na vyhodnotenie ponúk</w:t>
      </w:r>
      <w:r>
        <w:t xml:space="preserve"> a</w:t>
      </w:r>
      <w:r w:rsidRPr="00D3183C">
        <w:t xml:space="preserve"> v súlade s podmienkami účasti uvedenými v Oznámení o vyhlásení verejného obstarávania a v súťažných podkladoch a </w:t>
      </w:r>
      <w:r>
        <w:t>konštatoval</w:t>
      </w:r>
      <w:r w:rsidR="00E0628E">
        <w:t xml:space="preserve">, že </w:t>
      </w:r>
      <w:r w:rsidR="00E0628E">
        <w:rPr>
          <w:b/>
        </w:rPr>
        <w:t>uchádzač splnil podmienky účasti stanovené verejným obstarávateľom v plnom rozsahu.</w:t>
      </w:r>
    </w:p>
    <w:p w14:paraId="063F4B52" w14:textId="77777777" w:rsidR="000A6C66" w:rsidRDefault="000A6C66">
      <w:pPr>
        <w:pStyle w:val="Zkladntext"/>
        <w:spacing w:before="0"/>
        <w:rPr>
          <w:b/>
          <w:sz w:val="25"/>
        </w:rPr>
      </w:pPr>
    </w:p>
    <w:p w14:paraId="453938D1" w14:textId="6424BF4D" w:rsidR="000A6C66" w:rsidRDefault="00E0628E" w:rsidP="00670494">
      <w:pPr>
        <w:pStyle w:val="Nadpis1"/>
        <w:spacing w:after="160" w:line="276" w:lineRule="auto"/>
      </w:pPr>
      <w:r>
        <w:t>Informácie preukazujúce splnenie podmienok účasti:</w:t>
      </w:r>
    </w:p>
    <w:p w14:paraId="6B580B4B" w14:textId="7853FD23" w:rsidR="000A6C66" w:rsidRDefault="00E0628E" w:rsidP="00670494">
      <w:pPr>
        <w:spacing w:after="160" w:line="276" w:lineRule="auto"/>
        <w:ind w:left="116"/>
        <w:rPr>
          <w:b/>
        </w:rPr>
      </w:pPr>
      <w:r>
        <w:rPr>
          <w:b/>
        </w:rPr>
        <w:t>Podmienky účasti týkajúce sa osobného postavenia:</w:t>
      </w:r>
    </w:p>
    <w:p w14:paraId="2BB61F9A" w14:textId="39350C8E" w:rsidR="000A6C66" w:rsidRDefault="00E0628E" w:rsidP="00670494">
      <w:pPr>
        <w:pStyle w:val="Zkladntext"/>
        <w:spacing w:before="0" w:after="160" w:line="276" w:lineRule="auto"/>
        <w:ind w:left="116" w:right="120"/>
        <w:jc w:val="both"/>
      </w:pPr>
      <w:bookmarkStart w:id="7" w:name="_Hlk169102162"/>
      <w:r>
        <w:t xml:space="preserve">Uchádzač </w:t>
      </w:r>
      <w:r w:rsidR="00D3183C">
        <w:t xml:space="preserve">mal preukázať </w:t>
      </w:r>
      <w:r>
        <w:t>sp</w:t>
      </w:r>
      <w:r w:rsidR="00D3183C">
        <w:t>lnenie</w:t>
      </w:r>
      <w:r>
        <w:t xml:space="preserve"> podmien</w:t>
      </w:r>
      <w:r w:rsidR="00C34C50">
        <w:t>ok</w:t>
      </w:r>
      <w:r>
        <w:t xml:space="preserve"> účasti týkajúce sa osobného postavenia podľa </w:t>
      </w:r>
      <w:r w:rsidR="00D3183C">
        <w:br/>
      </w:r>
      <w:r>
        <w:t>§ 32 ods. 1 zákona o verejnom obstarávaní.</w:t>
      </w:r>
    </w:p>
    <w:p w14:paraId="04E72B65" w14:textId="5682F737" w:rsidR="000A6C66" w:rsidRDefault="00C34C50" w:rsidP="00670494">
      <w:pPr>
        <w:pStyle w:val="Zkladntext"/>
        <w:spacing w:before="0" w:after="160" w:line="276" w:lineRule="auto"/>
        <w:ind w:left="116" w:right="116"/>
        <w:jc w:val="both"/>
      </w:pPr>
      <w:r>
        <w:t>Úspešný u</w:t>
      </w:r>
      <w:r w:rsidR="00E0628E">
        <w:t xml:space="preserve">chádzač preukázal splnenie podmienok účasti osobného postavenia zápisom do zoznamu hospodárskych subjektov pod registračným číslom </w:t>
      </w:r>
      <w:r>
        <w:rPr>
          <w:bCs/>
        </w:rPr>
        <w:t xml:space="preserve">č. zápisu </w:t>
      </w:r>
      <w:r w:rsidR="001F325D">
        <w:t xml:space="preserve">2024/4-PO-G7040 </w:t>
      </w:r>
      <w:r w:rsidR="00D3183C" w:rsidRPr="00D3183C">
        <w:t xml:space="preserve">s platnosťou zápisu do </w:t>
      </w:r>
      <w:r w:rsidR="001F325D">
        <w:t>23</w:t>
      </w:r>
      <w:r w:rsidR="00D3183C" w:rsidRPr="00D3183C">
        <w:t>.</w:t>
      </w:r>
      <w:r w:rsidR="00670494">
        <w:t xml:space="preserve"> </w:t>
      </w:r>
      <w:r w:rsidR="00D3183C" w:rsidRPr="00D3183C">
        <w:t>0</w:t>
      </w:r>
      <w:r w:rsidR="001F325D">
        <w:t>4</w:t>
      </w:r>
      <w:r w:rsidR="00D3183C" w:rsidRPr="00D3183C">
        <w:t>.</w:t>
      </w:r>
      <w:r w:rsidR="00670494">
        <w:t xml:space="preserve"> </w:t>
      </w:r>
      <w:r w:rsidR="00D3183C" w:rsidRPr="00D3183C">
        <w:t>202</w:t>
      </w:r>
      <w:r w:rsidR="001F325D">
        <w:t>7</w:t>
      </w:r>
      <w:r w:rsidR="00E0628E">
        <w:t>.</w:t>
      </w:r>
    </w:p>
    <w:bookmarkEnd w:id="7"/>
    <w:p w14:paraId="2D877790" w14:textId="77777777" w:rsidR="000A6C66" w:rsidRDefault="00E0628E" w:rsidP="00670494">
      <w:pPr>
        <w:pStyle w:val="Nadpis1"/>
        <w:spacing w:after="160" w:line="276" w:lineRule="auto"/>
        <w:ind w:left="113"/>
      </w:pPr>
      <w:r>
        <w:t>Podmienky účasti týkajúce sa finančného a ekonomického postavenia:</w:t>
      </w:r>
    </w:p>
    <w:p w14:paraId="1E176F3B" w14:textId="2E448935" w:rsidR="000A6C66" w:rsidRDefault="00C34C50" w:rsidP="00670494">
      <w:pPr>
        <w:pStyle w:val="Zkladntext"/>
        <w:spacing w:before="0" w:after="160" w:line="276" w:lineRule="auto"/>
        <w:ind w:left="142"/>
        <w:jc w:val="both"/>
        <w:rPr>
          <w:szCs w:val="18"/>
        </w:rPr>
      </w:pPr>
      <w:r w:rsidRPr="00C34C50">
        <w:rPr>
          <w:szCs w:val="18"/>
        </w:rPr>
        <w:t xml:space="preserve">Verejný </w:t>
      </w:r>
      <w:r>
        <w:rPr>
          <w:szCs w:val="18"/>
        </w:rPr>
        <w:t xml:space="preserve">obstarávateľ požadoval preukázanie minimálnej výšky </w:t>
      </w:r>
      <w:r w:rsidRPr="00C34C50">
        <w:rPr>
          <w:szCs w:val="18"/>
        </w:rPr>
        <w:t>obratu v oblasti predmetu zákazky</w:t>
      </w:r>
      <w:r>
        <w:rPr>
          <w:szCs w:val="18"/>
        </w:rPr>
        <w:t xml:space="preserve"> podľa bodu 35 súťažných podkladov. </w:t>
      </w:r>
    </w:p>
    <w:p w14:paraId="65FA9F13" w14:textId="4D411B74" w:rsidR="00C34C50" w:rsidRDefault="00C34C50" w:rsidP="00670494">
      <w:pPr>
        <w:pStyle w:val="Zkladntext"/>
        <w:spacing w:before="0" w:after="160" w:line="276" w:lineRule="auto"/>
        <w:ind w:left="142"/>
        <w:jc w:val="both"/>
        <w:rPr>
          <w:szCs w:val="18"/>
        </w:rPr>
      </w:pPr>
      <w:r>
        <w:rPr>
          <w:szCs w:val="18"/>
        </w:rPr>
        <w:t xml:space="preserve">Úspešný uchádzač prostredníctvom predložených </w:t>
      </w:r>
      <w:r w:rsidR="008058E7">
        <w:rPr>
          <w:szCs w:val="18"/>
        </w:rPr>
        <w:t xml:space="preserve">vlastných </w:t>
      </w:r>
      <w:r>
        <w:rPr>
          <w:szCs w:val="18"/>
        </w:rPr>
        <w:t xml:space="preserve">referenčných zákaziek preukázal </w:t>
      </w:r>
      <w:r w:rsidR="008058E7">
        <w:rPr>
          <w:szCs w:val="18"/>
        </w:rPr>
        <w:t xml:space="preserve">dosiahnutie </w:t>
      </w:r>
      <w:r>
        <w:rPr>
          <w:szCs w:val="18"/>
        </w:rPr>
        <w:t>súhrnn</w:t>
      </w:r>
      <w:r w:rsidR="008058E7">
        <w:rPr>
          <w:szCs w:val="18"/>
        </w:rPr>
        <w:t>ého</w:t>
      </w:r>
      <w:r>
        <w:rPr>
          <w:szCs w:val="18"/>
        </w:rPr>
        <w:t xml:space="preserve"> obrat</w:t>
      </w:r>
      <w:r w:rsidR="008058E7">
        <w:rPr>
          <w:szCs w:val="18"/>
        </w:rPr>
        <w:t>u v oblasti predmetu zákazky</w:t>
      </w:r>
      <w:r>
        <w:rPr>
          <w:szCs w:val="18"/>
        </w:rPr>
        <w:t xml:space="preserve"> presahujúc</w:t>
      </w:r>
      <w:r w:rsidR="008058E7">
        <w:rPr>
          <w:szCs w:val="18"/>
        </w:rPr>
        <w:t>eho</w:t>
      </w:r>
      <w:r>
        <w:rPr>
          <w:szCs w:val="18"/>
        </w:rPr>
        <w:t xml:space="preserve"> 600 000 eur. </w:t>
      </w:r>
    </w:p>
    <w:p w14:paraId="0412E9D4" w14:textId="77777777" w:rsidR="000A6C66" w:rsidRDefault="00E0628E" w:rsidP="00670494">
      <w:pPr>
        <w:pStyle w:val="Nadpis1"/>
        <w:spacing w:after="160" w:line="276" w:lineRule="auto"/>
      </w:pPr>
      <w:r>
        <w:t>Podmienky účasti týkajúce sa technickej alebo odbornej spôsobilosti:</w:t>
      </w:r>
    </w:p>
    <w:p w14:paraId="496CA4B6" w14:textId="33C2BF42" w:rsidR="00D3183C" w:rsidRPr="00D3183C" w:rsidRDefault="00D3183C" w:rsidP="00670494">
      <w:pPr>
        <w:pStyle w:val="Zkladntext"/>
        <w:spacing w:before="0" w:after="160" w:line="276" w:lineRule="auto"/>
        <w:ind w:left="116"/>
        <w:jc w:val="both"/>
      </w:pPr>
      <w:bookmarkStart w:id="8" w:name="_Hlk169102188"/>
      <w:r w:rsidRPr="00D3183C">
        <w:t>Verejný obstarávateľ požadoval splnenie podmienok účasti týkajúcich sa technickej alebo odbornej spôsobilosti podľa § 34 ods. 1</w:t>
      </w:r>
      <w:r w:rsidR="00C34C50">
        <w:t xml:space="preserve"> písm. a)</w:t>
      </w:r>
      <w:r w:rsidRPr="00D3183C">
        <w:t xml:space="preserve"> zákona o verejnom obstarávaní a podľa bodu 3</w:t>
      </w:r>
      <w:r w:rsidR="00C34C50">
        <w:t>6</w:t>
      </w:r>
      <w:r w:rsidRPr="00D3183C">
        <w:t>.1</w:t>
      </w:r>
      <w:r w:rsidR="006A6EF5">
        <w:t>.1</w:t>
      </w:r>
      <w:r w:rsidRPr="00D3183C">
        <w:t xml:space="preserve"> súťažných podkladov.</w:t>
      </w:r>
    </w:p>
    <w:p w14:paraId="7B3BCD34" w14:textId="40E3D68A" w:rsidR="008058E7" w:rsidRDefault="00C34C50" w:rsidP="00670494">
      <w:pPr>
        <w:pStyle w:val="Zkladntext"/>
        <w:spacing w:before="0" w:after="160" w:line="276" w:lineRule="auto"/>
        <w:ind w:left="116"/>
        <w:jc w:val="both"/>
        <w:rPr>
          <w:bCs/>
        </w:rPr>
      </w:pPr>
      <w:r>
        <w:t xml:space="preserve">Úspešný uchádzač predložil </w:t>
      </w:r>
      <w:r>
        <w:rPr>
          <w:bCs/>
        </w:rPr>
        <w:t xml:space="preserve">zoznam obsahujúci organizáciu </w:t>
      </w:r>
      <w:r w:rsidR="008058E7">
        <w:rPr>
          <w:bCs/>
        </w:rPr>
        <w:t xml:space="preserve">21 </w:t>
      </w:r>
      <w:r>
        <w:rPr>
          <w:bCs/>
        </w:rPr>
        <w:t xml:space="preserve">podujatí pre </w:t>
      </w:r>
      <w:r w:rsidR="008058E7">
        <w:rPr>
          <w:bCs/>
        </w:rPr>
        <w:t>10</w:t>
      </w:r>
      <w:r>
        <w:rPr>
          <w:bCs/>
        </w:rPr>
        <w:t xml:space="preserve"> odberateľov,</w:t>
      </w:r>
      <w:r w:rsidRPr="00C34C50">
        <w:rPr>
          <w:bCs/>
        </w:rPr>
        <w:t xml:space="preserve"> </w:t>
      </w:r>
      <w:r>
        <w:rPr>
          <w:bCs/>
        </w:rPr>
        <w:t>pričom niektoré podujatia sa konali počas viacerých rokov požadovaného referenčného obdobia.</w:t>
      </w:r>
      <w:r w:rsidR="00227D0B">
        <w:rPr>
          <w:bCs/>
        </w:rPr>
        <w:t xml:space="preserve"> </w:t>
      </w:r>
    </w:p>
    <w:p w14:paraId="67F7C51D" w14:textId="2077E913" w:rsidR="00D3183C" w:rsidRDefault="008058E7" w:rsidP="00670494">
      <w:pPr>
        <w:pStyle w:val="Zkladntext"/>
        <w:spacing w:before="0" w:after="160" w:line="276" w:lineRule="auto"/>
        <w:ind w:left="116"/>
        <w:jc w:val="both"/>
        <w:rPr>
          <w:bCs/>
        </w:rPr>
      </w:pPr>
      <w:r>
        <w:rPr>
          <w:bCs/>
        </w:rPr>
        <w:lastRenderedPageBreak/>
        <w:t>Z uvedeného počtu 15</w:t>
      </w:r>
      <w:r w:rsidR="00227D0B">
        <w:rPr>
          <w:bCs/>
        </w:rPr>
        <w:t xml:space="preserve"> podujatí bolo </w:t>
      </w:r>
      <w:r>
        <w:rPr>
          <w:bCs/>
        </w:rPr>
        <w:t xml:space="preserve">označených </w:t>
      </w:r>
      <w:r w:rsidR="00627C0C">
        <w:rPr>
          <w:bCs/>
        </w:rPr>
        <w:t xml:space="preserve">ako podujatí </w:t>
      </w:r>
      <w:r w:rsidR="00227D0B">
        <w:rPr>
          <w:bCs/>
        </w:rPr>
        <w:t xml:space="preserve">pre viac ako 300 účastníkov. Obsahom referencií pritom bolo aj uvedenie, že podujatia zahŕňali aj zabezpečenie nábytku, </w:t>
      </w:r>
      <w:r w:rsidR="006A6EF5">
        <w:rPr>
          <w:bCs/>
        </w:rPr>
        <w:t xml:space="preserve">osvetľovacej a ozvučovacej </w:t>
      </w:r>
      <w:r w:rsidR="00227D0B">
        <w:rPr>
          <w:bCs/>
        </w:rPr>
        <w:t>techniky a</w:t>
      </w:r>
      <w:r w:rsidR="006A6EF5">
        <w:rPr>
          <w:bCs/>
        </w:rPr>
        <w:t> cateringu v rôznych kombináciách (niektoré aj kumulatívne).</w:t>
      </w:r>
    </w:p>
    <w:p w14:paraId="2DF2EB6D" w14:textId="76A8EB01" w:rsidR="006A6EF5" w:rsidRDefault="006A6EF5" w:rsidP="00670494">
      <w:pPr>
        <w:pStyle w:val="Zkladntext"/>
        <w:spacing w:before="0" w:after="160" w:line="276" w:lineRule="auto"/>
        <w:ind w:left="116"/>
        <w:jc w:val="both"/>
        <w:rPr>
          <w:bCs/>
        </w:rPr>
      </w:pPr>
      <w:r>
        <w:rPr>
          <w:bCs/>
        </w:rPr>
        <w:t xml:space="preserve">Podmienku účasti podľa § 34 ods. 1 písm. g) ZVO podľa bodu </w:t>
      </w:r>
      <w:r w:rsidRPr="00D3183C">
        <w:t>3</w:t>
      </w:r>
      <w:r>
        <w:t>6</w:t>
      </w:r>
      <w:r w:rsidRPr="00D3183C">
        <w:t>.</w:t>
      </w:r>
      <w:r>
        <w:t>1.2</w:t>
      </w:r>
      <w:r w:rsidRPr="00D3183C">
        <w:t xml:space="preserve"> súťažných podkladov</w:t>
      </w:r>
      <w:r>
        <w:t xml:space="preserve"> </w:t>
      </w:r>
      <w:r>
        <w:rPr>
          <w:bCs/>
        </w:rPr>
        <w:t>uchádzač preukázal prostredníctvom svojej intern</w:t>
      </w:r>
      <w:r w:rsidR="00EC0F7E">
        <w:rPr>
          <w:bCs/>
        </w:rPr>
        <w:t>ých</w:t>
      </w:r>
      <w:r>
        <w:rPr>
          <w:bCs/>
        </w:rPr>
        <w:t xml:space="preserve"> kapac</w:t>
      </w:r>
      <w:r w:rsidR="00EC0F7E">
        <w:rPr>
          <w:bCs/>
        </w:rPr>
        <w:t>ít</w:t>
      </w:r>
      <w:r>
        <w:rPr>
          <w:bCs/>
        </w:rPr>
        <w:t xml:space="preserve"> p. </w:t>
      </w:r>
      <w:r w:rsidR="00EC0F7E">
        <w:rPr>
          <w:bCs/>
        </w:rPr>
        <w:t>Miriam Kordošovej a p. Štefana Čermáka</w:t>
      </w:r>
      <w:r>
        <w:rPr>
          <w:bCs/>
        </w:rPr>
        <w:t>.</w:t>
      </w:r>
    </w:p>
    <w:p w14:paraId="4E7294B7" w14:textId="00B318F4" w:rsidR="006A6EF5" w:rsidRDefault="006A6EF5" w:rsidP="00670494">
      <w:pPr>
        <w:pStyle w:val="Zkladntext"/>
        <w:spacing w:before="0" w:after="160" w:line="276" w:lineRule="auto"/>
        <w:ind w:left="116"/>
        <w:jc w:val="both"/>
        <w:rPr>
          <w:bCs/>
        </w:rPr>
      </w:pPr>
      <w:r>
        <w:rPr>
          <w:bCs/>
        </w:rPr>
        <w:t xml:space="preserve">Na účely podmienky účasti podľa § 34 ods. 1 písm. l) ZVO podľa bodu  </w:t>
      </w:r>
      <w:r w:rsidRPr="00D3183C">
        <w:t>3</w:t>
      </w:r>
      <w:r>
        <w:t>6</w:t>
      </w:r>
      <w:r w:rsidRPr="00D3183C">
        <w:t>.</w:t>
      </w:r>
      <w:r>
        <w:t>1.3</w:t>
      </w:r>
      <w:r w:rsidRPr="00D3183C">
        <w:t xml:space="preserve"> súťažných podkladov</w:t>
      </w:r>
      <w:r>
        <w:t xml:space="preserve"> </w:t>
      </w:r>
      <w:r>
        <w:rPr>
          <w:bCs/>
        </w:rPr>
        <w:t>uchádzač uviedol, že</w:t>
      </w:r>
      <w:r w:rsidR="00EC0F7E">
        <w:rPr>
          <w:bCs/>
        </w:rPr>
        <w:t xml:space="preserve"> v plnej miere</w:t>
      </w:r>
      <w:r w:rsidR="00353FCE">
        <w:rPr>
          <w:bCs/>
        </w:rPr>
        <w:t>:</w:t>
      </w:r>
    </w:p>
    <w:p w14:paraId="3572B8E3" w14:textId="2645CB60" w:rsidR="00353FCE" w:rsidRDefault="00353FCE" w:rsidP="00670494">
      <w:pPr>
        <w:pStyle w:val="Zkladntext"/>
        <w:numPr>
          <w:ilvl w:val="0"/>
          <w:numId w:val="2"/>
        </w:numPr>
        <w:spacing w:before="0" w:after="160" w:line="276" w:lineRule="auto"/>
        <w:ind w:left="641" w:right="232" w:hanging="357"/>
        <w:contextualSpacing/>
        <w:jc w:val="both"/>
        <w:rPr>
          <w:bCs/>
        </w:rPr>
      </w:pPr>
      <w:r>
        <w:rPr>
          <w:bCs/>
        </w:rPr>
        <w:t xml:space="preserve">catering zabezpečí prostredníctvom spoločnosti </w:t>
      </w:r>
      <w:r w:rsidRPr="00C1627C">
        <w:rPr>
          <w:bCs/>
        </w:rPr>
        <w:t>SHARKAM B&amp;B CATERING s.r.o.</w:t>
      </w:r>
      <w:r>
        <w:rPr>
          <w:bCs/>
        </w:rPr>
        <w:t xml:space="preserve">, </w:t>
      </w:r>
      <w:proofErr w:type="spellStart"/>
      <w:r>
        <w:rPr>
          <w:bCs/>
        </w:rPr>
        <w:t>Krokusová</w:t>
      </w:r>
      <w:proofErr w:type="spellEnd"/>
      <w:r>
        <w:rPr>
          <w:bCs/>
        </w:rPr>
        <w:t xml:space="preserve"> 20243/3, 821 07 Bratislava,</w:t>
      </w:r>
    </w:p>
    <w:p w14:paraId="0D2B9E2E" w14:textId="6154CB84" w:rsidR="00353FCE" w:rsidRDefault="00353FCE" w:rsidP="00670494">
      <w:pPr>
        <w:pStyle w:val="Zkladntext"/>
        <w:numPr>
          <w:ilvl w:val="0"/>
          <w:numId w:val="2"/>
        </w:numPr>
        <w:spacing w:before="0" w:after="160" w:line="276" w:lineRule="auto"/>
        <w:ind w:left="641" w:right="232" w:hanging="357"/>
        <w:contextualSpacing/>
        <w:jc w:val="both"/>
        <w:rPr>
          <w:bCs/>
        </w:rPr>
      </w:pPr>
      <w:r>
        <w:rPr>
          <w:bCs/>
        </w:rPr>
        <w:t xml:space="preserve">ozvučovaciu a osvetľovaciu techniku zabezpečí prostredníctvom spoločnosti </w:t>
      </w:r>
      <w:proofErr w:type="spellStart"/>
      <w:r>
        <w:rPr>
          <w:bCs/>
        </w:rPr>
        <w:t>TLpro</w:t>
      </w:r>
      <w:proofErr w:type="spellEnd"/>
      <w:r>
        <w:rPr>
          <w:bCs/>
        </w:rPr>
        <w:t xml:space="preserve"> s.r.o, Janka Kráľa 43, 936 26 Starý Tekov,</w:t>
      </w:r>
    </w:p>
    <w:p w14:paraId="12F01315" w14:textId="37EDCF10" w:rsidR="00353FCE" w:rsidRDefault="00353FCE" w:rsidP="00EB6447">
      <w:pPr>
        <w:pStyle w:val="Zkladntext"/>
        <w:numPr>
          <w:ilvl w:val="0"/>
          <w:numId w:val="2"/>
        </w:numPr>
        <w:spacing w:before="0" w:after="160" w:line="276" w:lineRule="auto"/>
        <w:ind w:left="641" w:right="232" w:hanging="357"/>
        <w:jc w:val="both"/>
        <w:rPr>
          <w:bCs/>
        </w:rPr>
      </w:pPr>
      <w:r>
        <w:rPr>
          <w:bCs/>
        </w:rPr>
        <w:t>nábytky</w:t>
      </w:r>
      <w:r w:rsidR="00EC0F7E">
        <w:rPr>
          <w:bCs/>
        </w:rPr>
        <w:t>, mobiliár a dekorácie</w:t>
      </w:r>
      <w:r>
        <w:rPr>
          <w:bCs/>
        </w:rPr>
        <w:t xml:space="preserve"> zabezpečí prostredníctvom spoločnosti </w:t>
      </w:r>
      <w:proofErr w:type="spellStart"/>
      <w:r>
        <w:rPr>
          <w:bCs/>
        </w:rPr>
        <w:t>mima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production</w:t>
      </w:r>
      <w:proofErr w:type="spellEnd"/>
      <w:r>
        <w:rPr>
          <w:bCs/>
        </w:rPr>
        <w:t xml:space="preserve">, s.r.o., </w:t>
      </w:r>
      <w:proofErr w:type="spellStart"/>
      <w:r>
        <w:rPr>
          <w:bCs/>
        </w:rPr>
        <w:t>Martničekova</w:t>
      </w:r>
      <w:proofErr w:type="spellEnd"/>
      <w:r>
        <w:rPr>
          <w:bCs/>
        </w:rPr>
        <w:t>, 821 09 Bratislava.</w:t>
      </w:r>
    </w:p>
    <w:bookmarkEnd w:id="8"/>
    <w:p w14:paraId="120C926F" w14:textId="3825621A" w:rsidR="000A6C66" w:rsidRDefault="00D3183C" w:rsidP="00670494">
      <w:pPr>
        <w:pStyle w:val="Zkladntext"/>
        <w:spacing w:before="0" w:after="160" w:line="276" w:lineRule="auto"/>
        <w:ind w:left="116"/>
        <w:jc w:val="both"/>
        <w:rPr>
          <w:b/>
          <w:bCs/>
        </w:rPr>
      </w:pPr>
      <w:r w:rsidRPr="00D3183C">
        <w:t xml:space="preserve">Na základe vyššie uvedených skutočností </w:t>
      </w:r>
      <w:r>
        <w:t>verejný obstarávateľ</w:t>
      </w:r>
      <w:r w:rsidRPr="00D3183C">
        <w:t xml:space="preserve"> vyhodnotil</w:t>
      </w:r>
      <w:r>
        <w:t>,</w:t>
      </w:r>
      <w:r w:rsidRPr="00D3183C">
        <w:t xml:space="preserve"> že </w:t>
      </w:r>
      <w:r w:rsidRPr="00D3183C">
        <w:rPr>
          <w:b/>
          <w:bCs/>
        </w:rPr>
        <w:t xml:space="preserve">uchádzač splnil </w:t>
      </w:r>
      <w:r w:rsidR="005D748E">
        <w:rPr>
          <w:b/>
          <w:bCs/>
        </w:rPr>
        <w:t xml:space="preserve">stanovené </w:t>
      </w:r>
      <w:r w:rsidRPr="00D3183C">
        <w:rPr>
          <w:b/>
          <w:bCs/>
        </w:rPr>
        <w:t>podmienky účasti, týkajúce sa technickej alebo odbornej spôsobilosti podľa § 34</w:t>
      </w:r>
      <w:r w:rsidR="005D748E">
        <w:rPr>
          <w:b/>
          <w:bCs/>
        </w:rPr>
        <w:t xml:space="preserve"> zákona o verejnom obstarávaní.</w:t>
      </w:r>
    </w:p>
    <w:bookmarkEnd w:id="6"/>
    <w:p w14:paraId="67D8A5D0" w14:textId="1B90236E" w:rsidR="000A6C66" w:rsidRDefault="00E0628E" w:rsidP="00670494">
      <w:pPr>
        <w:pStyle w:val="Nadpis1"/>
        <w:spacing w:after="160" w:line="276" w:lineRule="auto"/>
        <w:jc w:val="both"/>
        <w:rPr>
          <w:b w:val="0"/>
        </w:rPr>
      </w:pPr>
      <w:r>
        <w:t xml:space="preserve">Identifikácia osoby poskytujúcej kapacity podľa </w:t>
      </w:r>
      <w:r w:rsidR="005D748E">
        <w:t xml:space="preserve">§ 33 ods. 2 a </w:t>
      </w:r>
      <w:r>
        <w:t>§ 34 ods. 3 zákona o</w:t>
      </w:r>
      <w:r w:rsidR="005D748E">
        <w:t xml:space="preserve"> </w:t>
      </w:r>
      <w:r>
        <w:t>verejnom obstarávaní:</w:t>
      </w:r>
    </w:p>
    <w:p w14:paraId="7D5E0708" w14:textId="77777777" w:rsidR="000A6C66" w:rsidRDefault="00E0628E" w:rsidP="00670494">
      <w:pPr>
        <w:pStyle w:val="Zkladntext"/>
        <w:spacing w:before="0" w:after="160" w:line="276" w:lineRule="auto"/>
        <w:ind w:left="116"/>
      </w:pPr>
      <w:r>
        <w:t>Neaplikuje sa.</w:t>
      </w:r>
    </w:p>
    <w:p w14:paraId="1E6DE279" w14:textId="77777777" w:rsidR="000A6C66" w:rsidRDefault="00E0628E" w:rsidP="00670494">
      <w:pPr>
        <w:pStyle w:val="Nadpis1"/>
        <w:numPr>
          <w:ilvl w:val="0"/>
          <w:numId w:val="1"/>
        </w:numPr>
        <w:tabs>
          <w:tab w:val="left" w:pos="388"/>
        </w:tabs>
        <w:spacing w:after="160" w:line="276" w:lineRule="auto"/>
        <w:ind w:left="387" w:hanging="272"/>
      </w:pPr>
      <w:r>
        <w:t>Lehota, v ktorej môže byť doručená</w:t>
      </w:r>
      <w:r>
        <w:rPr>
          <w:spacing w:val="-9"/>
        </w:rPr>
        <w:t xml:space="preserve"> </w:t>
      </w:r>
      <w:r>
        <w:t>námietka:</w:t>
      </w:r>
    </w:p>
    <w:p w14:paraId="7896109F" w14:textId="77777777" w:rsidR="000A6C66" w:rsidRDefault="00E0628E" w:rsidP="00670494">
      <w:pPr>
        <w:pStyle w:val="Zkladntext"/>
        <w:spacing w:before="0" w:after="160" w:line="276" w:lineRule="auto"/>
        <w:ind w:left="116"/>
      </w:pPr>
      <w:r>
        <w:t>V súlade s § 170 zákona o verejnom obstarávaní.</w:t>
      </w:r>
    </w:p>
    <w:p w14:paraId="15B84A78" w14:textId="52D47C33" w:rsidR="000A6C66" w:rsidRDefault="00EF0DD7" w:rsidP="00670494">
      <w:pPr>
        <w:pStyle w:val="Zkladntext"/>
        <w:spacing w:before="0" w:after="160" w:line="276" w:lineRule="auto"/>
        <w:rPr>
          <w:b/>
          <w:bCs/>
        </w:rPr>
      </w:pPr>
      <w:r>
        <w:rPr>
          <w:b/>
        </w:rPr>
        <w:t>Ponukové ceny</w:t>
      </w:r>
      <w:r w:rsidR="00E0628E" w:rsidRPr="00D3183C">
        <w:rPr>
          <w:b/>
          <w:bCs/>
        </w:rPr>
        <w:t>: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937"/>
        <w:gridCol w:w="2864"/>
      </w:tblGrid>
      <w:tr w:rsidR="00EF0DD7" w14:paraId="7B0B0BB8" w14:textId="77777777" w:rsidTr="005F3E20">
        <w:trPr>
          <w:trHeight w:val="634"/>
          <w:jc w:val="center"/>
        </w:trPr>
        <w:tc>
          <w:tcPr>
            <w:tcW w:w="1413" w:type="dxa"/>
            <w:shd w:val="clear" w:color="auto" w:fill="DFDFDF"/>
            <w:vAlign w:val="center"/>
          </w:tcPr>
          <w:p w14:paraId="2ED60390" w14:textId="77777777" w:rsidR="00EF0DD7" w:rsidRPr="00B544DC" w:rsidRDefault="00EF0DD7" w:rsidP="00963929">
            <w:pPr>
              <w:spacing w:line="257" w:lineRule="exact"/>
              <w:ind w:left="230" w:right="220"/>
              <w:jc w:val="center"/>
              <w:rPr>
                <w:b/>
                <w:lang w:eastAsia="en-US"/>
              </w:rPr>
            </w:pPr>
            <w:bookmarkStart w:id="9" w:name="_Hlk169078552"/>
            <w:r w:rsidRPr="00B544DC">
              <w:rPr>
                <w:b/>
                <w:lang w:eastAsia="en-US"/>
              </w:rPr>
              <w:t>Ponuka</w:t>
            </w:r>
            <w:r>
              <w:rPr>
                <w:b/>
                <w:lang w:eastAsia="en-US"/>
              </w:rPr>
              <w:t xml:space="preserve"> </w:t>
            </w:r>
            <w:r w:rsidRPr="00B544DC">
              <w:rPr>
                <w:b/>
                <w:lang w:eastAsia="en-US"/>
              </w:rPr>
              <w:t>č.</w:t>
            </w:r>
          </w:p>
        </w:tc>
        <w:tc>
          <w:tcPr>
            <w:tcW w:w="4937" w:type="dxa"/>
            <w:shd w:val="clear" w:color="auto" w:fill="DFDFDF"/>
            <w:vAlign w:val="center"/>
          </w:tcPr>
          <w:p w14:paraId="63537EA2" w14:textId="77777777" w:rsidR="00EF0DD7" w:rsidRPr="00B544DC" w:rsidRDefault="00EF0DD7" w:rsidP="00963929">
            <w:pPr>
              <w:spacing w:line="257" w:lineRule="exact"/>
              <w:ind w:left="230" w:right="2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Uchádzač</w:t>
            </w:r>
          </w:p>
        </w:tc>
        <w:tc>
          <w:tcPr>
            <w:tcW w:w="2864" w:type="dxa"/>
            <w:shd w:val="clear" w:color="auto" w:fill="DFDFDF"/>
          </w:tcPr>
          <w:p w14:paraId="152DE618" w14:textId="77777777" w:rsidR="00EF0DD7" w:rsidRPr="00B544DC" w:rsidRDefault="00EF0DD7" w:rsidP="00963929">
            <w:pPr>
              <w:spacing w:line="257" w:lineRule="exact"/>
              <w:ind w:left="230" w:right="2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Ponuková cena</w:t>
            </w:r>
          </w:p>
        </w:tc>
      </w:tr>
      <w:tr w:rsidR="00091AF8" w:rsidRPr="008A09CC" w14:paraId="08309B4E" w14:textId="77777777" w:rsidTr="005F3E20">
        <w:trPr>
          <w:trHeight w:val="709"/>
          <w:jc w:val="center"/>
        </w:trPr>
        <w:tc>
          <w:tcPr>
            <w:tcW w:w="1413" w:type="dxa"/>
            <w:vAlign w:val="center"/>
          </w:tcPr>
          <w:p w14:paraId="71CD836F" w14:textId="77777777" w:rsidR="00091AF8" w:rsidRPr="00B544DC" w:rsidRDefault="00091AF8" w:rsidP="00091AF8">
            <w:pPr>
              <w:spacing w:before="167"/>
              <w:ind w:left="198" w:right="191"/>
              <w:jc w:val="center"/>
              <w:rPr>
                <w:lang w:eastAsia="en-US"/>
              </w:rPr>
            </w:pPr>
            <w:bookmarkStart w:id="10" w:name="_Hlk169100651"/>
            <w:r w:rsidRPr="00B544DC">
              <w:rPr>
                <w:lang w:eastAsia="en-US"/>
              </w:rPr>
              <w:t>1.</w:t>
            </w:r>
          </w:p>
        </w:tc>
        <w:tc>
          <w:tcPr>
            <w:tcW w:w="4937" w:type="dxa"/>
            <w:vAlign w:val="center"/>
          </w:tcPr>
          <w:p w14:paraId="2080A098" w14:textId="77777777" w:rsidR="00091AF8" w:rsidRDefault="00091AF8" w:rsidP="00091AF8">
            <w:pPr>
              <w:spacing w:before="37"/>
              <w:ind w:left="108"/>
              <w:rPr>
                <w:b/>
                <w:bCs/>
                <w:lang w:eastAsia="en-US"/>
              </w:rPr>
            </w:pPr>
            <w:r w:rsidRPr="008A09CC">
              <w:rPr>
                <w:b/>
                <w:bCs/>
                <w:lang w:eastAsia="en-US"/>
              </w:rPr>
              <w:t>VIVA EVENTS, s.r.o.</w:t>
            </w:r>
          </w:p>
          <w:p w14:paraId="019DA557" w14:textId="77777777" w:rsidR="00EE34CA" w:rsidRDefault="00EE34CA" w:rsidP="00EE34CA">
            <w:pPr>
              <w:spacing w:before="37"/>
              <w:ind w:left="108"/>
              <w:rPr>
                <w:bCs/>
              </w:rPr>
            </w:pPr>
            <w:r w:rsidRPr="00243FEC">
              <w:rPr>
                <w:bCs/>
              </w:rPr>
              <w:t>Kľukatá 41, 821 05 Bratislava - mestská časť Ružinov</w:t>
            </w:r>
          </w:p>
          <w:p w14:paraId="7438213F" w14:textId="17DC9DF9" w:rsidR="00EE34CA" w:rsidRPr="00124D70" w:rsidRDefault="00EE34CA" w:rsidP="00EE34CA">
            <w:pPr>
              <w:spacing w:before="37"/>
              <w:ind w:left="108"/>
              <w:rPr>
                <w:lang w:eastAsia="en-US"/>
              </w:rPr>
            </w:pPr>
            <w:r w:rsidRPr="00243FEC">
              <w:rPr>
                <w:bCs/>
              </w:rPr>
              <w:t>IČO: 51154765</w:t>
            </w:r>
          </w:p>
        </w:tc>
        <w:tc>
          <w:tcPr>
            <w:tcW w:w="2864" w:type="dxa"/>
            <w:vAlign w:val="center"/>
          </w:tcPr>
          <w:p w14:paraId="28606BB1" w14:textId="6DE50309" w:rsidR="00091AF8" w:rsidRPr="00A47FDB" w:rsidRDefault="00091AF8" w:rsidP="00091AF8">
            <w:pPr>
              <w:spacing w:before="37"/>
              <w:ind w:left="108"/>
              <w:jc w:val="center"/>
            </w:pPr>
            <w:r w:rsidRPr="00A47FDB">
              <w:rPr>
                <w:rFonts w:cs="Arial"/>
              </w:rPr>
              <w:t>223 516,00</w:t>
            </w:r>
          </w:p>
        </w:tc>
      </w:tr>
      <w:tr w:rsidR="00091AF8" w:rsidRPr="008A09CC" w14:paraId="3F7170E8" w14:textId="77777777" w:rsidTr="005F3E20">
        <w:trPr>
          <w:trHeight w:val="592"/>
          <w:jc w:val="center"/>
        </w:trPr>
        <w:tc>
          <w:tcPr>
            <w:tcW w:w="1413" w:type="dxa"/>
            <w:vAlign w:val="center"/>
          </w:tcPr>
          <w:p w14:paraId="4BC2BD73" w14:textId="77777777" w:rsidR="00091AF8" w:rsidRPr="00091AF8" w:rsidRDefault="00091AF8" w:rsidP="00091AF8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091AF8">
              <w:rPr>
                <w:lang w:eastAsia="en-US"/>
              </w:rPr>
              <w:t>2.</w:t>
            </w:r>
          </w:p>
        </w:tc>
        <w:tc>
          <w:tcPr>
            <w:tcW w:w="4937" w:type="dxa"/>
            <w:vAlign w:val="center"/>
          </w:tcPr>
          <w:p w14:paraId="1037155E" w14:textId="77777777" w:rsidR="00091AF8" w:rsidRPr="00B56AB4" w:rsidRDefault="00091AF8" w:rsidP="00091AF8">
            <w:pPr>
              <w:spacing w:before="37"/>
              <w:ind w:left="108"/>
              <w:rPr>
                <w:rStyle w:val="ra"/>
                <w:b/>
                <w:bCs/>
              </w:rPr>
            </w:pPr>
            <w:r w:rsidRPr="00B56AB4">
              <w:rPr>
                <w:rStyle w:val="ra"/>
                <w:b/>
                <w:bCs/>
              </w:rPr>
              <w:t xml:space="preserve">MW PROMOTION, spol. s </w:t>
            </w:r>
            <w:proofErr w:type="spellStart"/>
            <w:r w:rsidRPr="00B56AB4">
              <w:rPr>
                <w:rStyle w:val="ra"/>
                <w:b/>
                <w:bCs/>
              </w:rPr>
              <w:t>r.o</w:t>
            </w:r>
            <w:proofErr w:type="spellEnd"/>
            <w:r w:rsidRPr="00B56AB4">
              <w:rPr>
                <w:rStyle w:val="ra"/>
                <w:b/>
                <w:bCs/>
              </w:rPr>
              <w:t>.</w:t>
            </w:r>
          </w:p>
          <w:p w14:paraId="7E7A8134" w14:textId="77777777" w:rsidR="00DD58CD" w:rsidRPr="00DD58CD" w:rsidRDefault="00DD58CD" w:rsidP="00DD58CD">
            <w:pPr>
              <w:spacing w:before="37"/>
              <w:ind w:left="108"/>
              <w:rPr>
                <w:lang w:eastAsia="en-US"/>
              </w:rPr>
            </w:pPr>
            <w:r w:rsidRPr="00DD58CD">
              <w:rPr>
                <w:lang w:eastAsia="en-US"/>
              </w:rPr>
              <w:t>Komenského 2375/36</w:t>
            </w:r>
          </w:p>
          <w:p w14:paraId="08EAD4E0" w14:textId="38CB6A39" w:rsidR="00B56AB4" w:rsidRPr="00DD58CD" w:rsidRDefault="00DD58CD" w:rsidP="00DD58CD">
            <w:pPr>
              <w:spacing w:before="37"/>
              <w:ind w:left="108"/>
              <w:rPr>
                <w:lang w:eastAsia="en-US"/>
              </w:rPr>
            </w:pPr>
            <w:r w:rsidRPr="00DD58CD">
              <w:rPr>
                <w:lang w:eastAsia="en-US"/>
              </w:rPr>
              <w:t>960 01 Zvolen</w:t>
            </w:r>
          </w:p>
        </w:tc>
        <w:tc>
          <w:tcPr>
            <w:tcW w:w="2864" w:type="dxa"/>
            <w:vAlign w:val="center"/>
          </w:tcPr>
          <w:p w14:paraId="33F53EA9" w14:textId="282D33BE" w:rsidR="00091AF8" w:rsidRPr="008A09CC" w:rsidRDefault="00091AF8" w:rsidP="00091AF8">
            <w:pPr>
              <w:spacing w:before="37"/>
              <w:ind w:left="108"/>
              <w:jc w:val="center"/>
              <w:rPr>
                <w:b/>
                <w:bCs/>
              </w:rPr>
            </w:pPr>
            <w:r>
              <w:rPr>
                <w:rFonts w:cs="Arial"/>
              </w:rPr>
              <w:t>247 615,62</w:t>
            </w:r>
          </w:p>
        </w:tc>
      </w:tr>
      <w:tr w:rsidR="00091AF8" w:rsidRPr="008A09CC" w14:paraId="337CF9A4" w14:textId="77777777" w:rsidTr="005F3E20">
        <w:trPr>
          <w:trHeight w:val="592"/>
          <w:jc w:val="center"/>
        </w:trPr>
        <w:tc>
          <w:tcPr>
            <w:tcW w:w="1413" w:type="dxa"/>
            <w:vAlign w:val="center"/>
          </w:tcPr>
          <w:p w14:paraId="7E055C47" w14:textId="77777777" w:rsidR="00091AF8" w:rsidRPr="00B544DC" w:rsidRDefault="00091AF8" w:rsidP="00091AF8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3.</w:t>
            </w:r>
          </w:p>
        </w:tc>
        <w:tc>
          <w:tcPr>
            <w:tcW w:w="4937" w:type="dxa"/>
            <w:vAlign w:val="center"/>
          </w:tcPr>
          <w:p w14:paraId="29782629" w14:textId="77777777" w:rsidR="00091AF8" w:rsidRPr="00B56AB4" w:rsidRDefault="00091AF8" w:rsidP="00091AF8">
            <w:pPr>
              <w:spacing w:before="37"/>
              <w:ind w:left="108"/>
              <w:rPr>
                <w:b/>
                <w:bCs/>
                <w:lang w:eastAsia="en-US"/>
              </w:rPr>
            </w:pPr>
            <w:r w:rsidRPr="00B56AB4">
              <w:rPr>
                <w:b/>
                <w:bCs/>
                <w:lang w:eastAsia="en-US"/>
              </w:rPr>
              <w:t>CREATIVE PRO a.s.,</w:t>
            </w:r>
          </w:p>
          <w:p w14:paraId="015CBC7A" w14:textId="77777777" w:rsidR="00B56AB4" w:rsidRPr="001B6B8E" w:rsidRDefault="00B56AB4" w:rsidP="00B56AB4">
            <w:pPr>
              <w:spacing w:before="37"/>
              <w:ind w:left="108"/>
              <w:rPr>
                <w:bCs/>
                <w:lang w:eastAsia="en-US"/>
              </w:rPr>
            </w:pPr>
            <w:r w:rsidRPr="001B6B8E">
              <w:rPr>
                <w:bCs/>
                <w:lang w:eastAsia="en-US"/>
              </w:rPr>
              <w:t>Matúšova 56/A, 811 04 Bratislava – mestská časť Staré mesto</w:t>
            </w:r>
          </w:p>
          <w:p w14:paraId="2EB2147E" w14:textId="5DB75608" w:rsidR="00B56AB4" w:rsidRPr="00124D70" w:rsidRDefault="00B56AB4" w:rsidP="00B56AB4">
            <w:pPr>
              <w:spacing w:before="37"/>
              <w:ind w:left="108"/>
              <w:rPr>
                <w:lang w:eastAsia="en-US"/>
              </w:rPr>
            </w:pPr>
            <w:r w:rsidRPr="001B6B8E">
              <w:rPr>
                <w:bCs/>
                <w:lang w:eastAsia="en-US"/>
              </w:rPr>
              <w:t>IČO: 35968702</w:t>
            </w:r>
          </w:p>
        </w:tc>
        <w:tc>
          <w:tcPr>
            <w:tcW w:w="2864" w:type="dxa"/>
            <w:vAlign w:val="center"/>
          </w:tcPr>
          <w:p w14:paraId="00C8F3A1" w14:textId="0F9286B7" w:rsidR="00091AF8" w:rsidRPr="00B544DC" w:rsidRDefault="00091AF8" w:rsidP="00091AF8">
            <w:pPr>
              <w:spacing w:before="37"/>
              <w:ind w:left="108"/>
              <w:jc w:val="center"/>
            </w:pPr>
            <w:r>
              <w:rPr>
                <w:rFonts w:cs="Arial"/>
              </w:rPr>
              <w:t>223 953,24</w:t>
            </w:r>
          </w:p>
        </w:tc>
      </w:tr>
      <w:tr w:rsidR="00091AF8" w:rsidRPr="008A09CC" w14:paraId="71261BFD" w14:textId="77777777" w:rsidTr="005F3E20">
        <w:trPr>
          <w:trHeight w:val="592"/>
          <w:jc w:val="center"/>
        </w:trPr>
        <w:tc>
          <w:tcPr>
            <w:tcW w:w="1413" w:type="dxa"/>
            <w:vAlign w:val="center"/>
          </w:tcPr>
          <w:p w14:paraId="5C81CCB0" w14:textId="77777777" w:rsidR="00091AF8" w:rsidRPr="00B544DC" w:rsidRDefault="00091AF8" w:rsidP="00091AF8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4.</w:t>
            </w:r>
          </w:p>
        </w:tc>
        <w:tc>
          <w:tcPr>
            <w:tcW w:w="4937" w:type="dxa"/>
            <w:vAlign w:val="center"/>
          </w:tcPr>
          <w:p w14:paraId="4D40516E" w14:textId="77777777" w:rsidR="00091AF8" w:rsidRPr="00B56AB4" w:rsidRDefault="00091AF8" w:rsidP="00091AF8">
            <w:pPr>
              <w:spacing w:before="37"/>
              <w:ind w:left="108"/>
              <w:rPr>
                <w:rStyle w:val="ra"/>
                <w:b/>
                <w:bCs/>
              </w:rPr>
            </w:pPr>
            <w:r w:rsidRPr="00B56AB4">
              <w:rPr>
                <w:rStyle w:val="ra"/>
                <w:b/>
                <w:bCs/>
              </w:rPr>
              <w:t>MONARCH, akciová spoločnosť</w:t>
            </w:r>
          </w:p>
          <w:p w14:paraId="3780D5AF" w14:textId="77777777" w:rsidR="00B56AB4" w:rsidRPr="009E71B0" w:rsidRDefault="00B56AB4" w:rsidP="00B56AB4">
            <w:pPr>
              <w:spacing w:before="37"/>
              <w:ind w:left="108"/>
              <w:rPr>
                <w:rStyle w:val="ra"/>
              </w:rPr>
            </w:pPr>
            <w:r w:rsidRPr="009E71B0">
              <w:rPr>
                <w:rStyle w:val="ra"/>
              </w:rPr>
              <w:t>Drotárska cesta 56, 811 02 Bratislava</w:t>
            </w:r>
          </w:p>
          <w:p w14:paraId="7A965A0B" w14:textId="6492638D" w:rsidR="00B56AB4" w:rsidRPr="00B544DC" w:rsidRDefault="00B56AB4" w:rsidP="00B56AB4">
            <w:pPr>
              <w:spacing w:before="37"/>
              <w:ind w:left="108"/>
              <w:rPr>
                <w:lang w:eastAsia="en-US"/>
              </w:rPr>
            </w:pPr>
            <w:r w:rsidRPr="009E71B0">
              <w:rPr>
                <w:lang w:eastAsia="en-US"/>
              </w:rPr>
              <w:t>IČO: 31325645</w:t>
            </w:r>
          </w:p>
        </w:tc>
        <w:tc>
          <w:tcPr>
            <w:tcW w:w="2864" w:type="dxa"/>
            <w:vAlign w:val="center"/>
          </w:tcPr>
          <w:p w14:paraId="75095D97" w14:textId="4E7D5FFE" w:rsidR="00091AF8" w:rsidRPr="00B544DC" w:rsidRDefault="00091AF8" w:rsidP="00091AF8">
            <w:pPr>
              <w:spacing w:before="37"/>
              <w:ind w:left="108"/>
              <w:jc w:val="center"/>
            </w:pPr>
            <w:r>
              <w:rPr>
                <w:rFonts w:cs="Arial"/>
              </w:rPr>
              <w:t>230 041,04</w:t>
            </w:r>
          </w:p>
        </w:tc>
      </w:tr>
      <w:tr w:rsidR="00091AF8" w:rsidRPr="008A09CC" w14:paraId="00E86C86" w14:textId="77777777" w:rsidTr="005F3E20">
        <w:trPr>
          <w:trHeight w:val="623"/>
          <w:jc w:val="center"/>
        </w:trPr>
        <w:tc>
          <w:tcPr>
            <w:tcW w:w="1413" w:type="dxa"/>
            <w:vAlign w:val="center"/>
          </w:tcPr>
          <w:p w14:paraId="5E0CA4F5" w14:textId="77777777" w:rsidR="00091AF8" w:rsidRPr="00B544DC" w:rsidRDefault="00091AF8" w:rsidP="00091AF8">
            <w:pPr>
              <w:ind w:left="198" w:right="193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5.</w:t>
            </w:r>
          </w:p>
        </w:tc>
        <w:tc>
          <w:tcPr>
            <w:tcW w:w="4937" w:type="dxa"/>
            <w:vAlign w:val="center"/>
          </w:tcPr>
          <w:p w14:paraId="0710B286" w14:textId="77777777" w:rsidR="00091AF8" w:rsidRPr="00B56AB4" w:rsidRDefault="00091AF8" w:rsidP="00091AF8">
            <w:pPr>
              <w:spacing w:before="37"/>
              <w:ind w:left="108"/>
              <w:rPr>
                <w:b/>
                <w:bCs/>
                <w:lang w:eastAsia="en-US"/>
              </w:rPr>
            </w:pPr>
            <w:r w:rsidRPr="00B56AB4">
              <w:rPr>
                <w:b/>
                <w:bCs/>
                <w:lang w:eastAsia="en-US"/>
              </w:rPr>
              <w:t>E-MOTION s.r.o</w:t>
            </w:r>
          </w:p>
          <w:p w14:paraId="269D7874" w14:textId="77777777" w:rsidR="00B56AB4" w:rsidRPr="001B6B8E" w:rsidRDefault="00B56AB4" w:rsidP="00B56AB4">
            <w:pPr>
              <w:spacing w:before="37"/>
              <w:ind w:left="108"/>
              <w:rPr>
                <w:bCs/>
                <w:lang w:eastAsia="en-US"/>
              </w:rPr>
            </w:pPr>
            <w:proofErr w:type="spellStart"/>
            <w:r w:rsidRPr="001B6B8E">
              <w:rPr>
                <w:bCs/>
                <w:lang w:eastAsia="en-US"/>
              </w:rPr>
              <w:t>Betliarska</w:t>
            </w:r>
            <w:proofErr w:type="spellEnd"/>
            <w:r w:rsidRPr="001B6B8E">
              <w:rPr>
                <w:bCs/>
                <w:lang w:eastAsia="en-US"/>
              </w:rPr>
              <w:t xml:space="preserve"> 8/A, 851 07 Bratislava</w:t>
            </w:r>
          </w:p>
          <w:p w14:paraId="26212226" w14:textId="0222AF58" w:rsidR="00B56AB4" w:rsidRPr="00B544DC" w:rsidRDefault="00B56AB4" w:rsidP="00B56AB4">
            <w:pPr>
              <w:spacing w:before="37"/>
              <w:ind w:left="108"/>
              <w:rPr>
                <w:lang w:eastAsia="en-US"/>
              </w:rPr>
            </w:pPr>
            <w:r w:rsidRPr="001B6B8E">
              <w:rPr>
                <w:bCs/>
                <w:lang w:eastAsia="en-US"/>
              </w:rPr>
              <w:t>IČO: 35732105</w:t>
            </w:r>
          </w:p>
        </w:tc>
        <w:tc>
          <w:tcPr>
            <w:tcW w:w="2864" w:type="dxa"/>
            <w:vAlign w:val="center"/>
          </w:tcPr>
          <w:p w14:paraId="6027C8CB" w14:textId="1F45D307" w:rsidR="00091AF8" w:rsidRPr="00B544DC" w:rsidRDefault="00091AF8" w:rsidP="00091AF8">
            <w:pPr>
              <w:spacing w:before="37"/>
              <w:ind w:left="108"/>
              <w:jc w:val="center"/>
            </w:pPr>
            <w:r>
              <w:rPr>
                <w:rFonts w:cs="Arial"/>
              </w:rPr>
              <w:t>236 970,15</w:t>
            </w:r>
          </w:p>
        </w:tc>
      </w:tr>
      <w:tr w:rsidR="00091AF8" w:rsidRPr="008A09CC" w14:paraId="1C6E2587" w14:textId="77777777" w:rsidTr="005F3E20">
        <w:trPr>
          <w:trHeight w:val="623"/>
          <w:jc w:val="center"/>
        </w:trPr>
        <w:tc>
          <w:tcPr>
            <w:tcW w:w="1413" w:type="dxa"/>
            <w:vAlign w:val="center"/>
          </w:tcPr>
          <w:p w14:paraId="0099DDEC" w14:textId="04C77DFF" w:rsidR="00091AF8" w:rsidRPr="00B544DC" w:rsidRDefault="00091AF8" w:rsidP="00091AF8">
            <w:pPr>
              <w:ind w:left="198" w:right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937" w:type="dxa"/>
            <w:vAlign w:val="center"/>
          </w:tcPr>
          <w:p w14:paraId="74AE2E99" w14:textId="77777777" w:rsidR="00091AF8" w:rsidRPr="00B56AB4" w:rsidRDefault="00091AF8" w:rsidP="00091AF8">
            <w:pPr>
              <w:spacing w:before="37"/>
              <w:ind w:left="108"/>
              <w:rPr>
                <w:rStyle w:val="ra"/>
                <w:b/>
                <w:bCs/>
              </w:rPr>
            </w:pPr>
            <w:r w:rsidRPr="00B56AB4">
              <w:rPr>
                <w:rStyle w:val="ra"/>
                <w:b/>
                <w:bCs/>
              </w:rPr>
              <w:t>MERTEL, s. r. o.</w:t>
            </w:r>
          </w:p>
          <w:p w14:paraId="593E9A6B" w14:textId="77777777" w:rsidR="00B56AB4" w:rsidRDefault="00B56AB4" w:rsidP="00B56AB4">
            <w:pPr>
              <w:spacing w:before="37"/>
              <w:ind w:left="108"/>
              <w:rPr>
                <w:lang w:eastAsia="en-US"/>
              </w:rPr>
            </w:pPr>
            <w:r>
              <w:rPr>
                <w:lang w:eastAsia="en-US"/>
              </w:rPr>
              <w:t>Skalná 11, 811 01 Bratislava - mestská časť Staré mesto 811 01</w:t>
            </w:r>
          </w:p>
          <w:p w14:paraId="29E35DCF" w14:textId="51B6D802" w:rsidR="00B56AB4" w:rsidRPr="00B544DC" w:rsidRDefault="00B56AB4" w:rsidP="00B56AB4">
            <w:pPr>
              <w:spacing w:before="37"/>
              <w:ind w:left="108"/>
              <w:rPr>
                <w:rStyle w:val="ra"/>
              </w:rPr>
            </w:pPr>
            <w:r>
              <w:rPr>
                <w:lang w:eastAsia="en-US"/>
              </w:rPr>
              <w:t>IČO: 35967412</w:t>
            </w:r>
          </w:p>
        </w:tc>
        <w:tc>
          <w:tcPr>
            <w:tcW w:w="2864" w:type="dxa"/>
            <w:vAlign w:val="center"/>
          </w:tcPr>
          <w:p w14:paraId="12929516" w14:textId="54BD6ECF" w:rsidR="00091AF8" w:rsidRPr="00097D00" w:rsidRDefault="00091AF8" w:rsidP="00091AF8">
            <w:pPr>
              <w:spacing w:before="37"/>
              <w:ind w:left="108"/>
              <w:jc w:val="center"/>
              <w:rPr>
                <w:rFonts w:cs="Arial"/>
              </w:rPr>
            </w:pPr>
            <w:r>
              <w:rPr>
                <w:rFonts w:cs="Arial"/>
              </w:rPr>
              <w:t>230 579,10</w:t>
            </w:r>
          </w:p>
        </w:tc>
      </w:tr>
      <w:tr w:rsidR="00091AF8" w:rsidRPr="008A09CC" w14:paraId="6FB75202" w14:textId="77777777" w:rsidTr="005F3E20">
        <w:trPr>
          <w:trHeight w:val="623"/>
          <w:jc w:val="center"/>
        </w:trPr>
        <w:tc>
          <w:tcPr>
            <w:tcW w:w="1413" w:type="dxa"/>
            <w:vAlign w:val="center"/>
          </w:tcPr>
          <w:p w14:paraId="48A27489" w14:textId="565E8F65" w:rsidR="00091AF8" w:rsidRPr="00B544DC" w:rsidRDefault="00091AF8" w:rsidP="00091AF8">
            <w:pPr>
              <w:ind w:left="198" w:right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</w:p>
        </w:tc>
        <w:tc>
          <w:tcPr>
            <w:tcW w:w="4937" w:type="dxa"/>
            <w:vAlign w:val="center"/>
          </w:tcPr>
          <w:p w14:paraId="739DEAEF" w14:textId="77777777" w:rsidR="00B56AB4" w:rsidRPr="00B56AB4" w:rsidRDefault="00383BC1" w:rsidP="00383BC1">
            <w:pPr>
              <w:spacing w:before="37"/>
              <w:ind w:left="108"/>
              <w:rPr>
                <w:rStyle w:val="ra"/>
                <w:b/>
                <w:bCs/>
              </w:rPr>
            </w:pPr>
            <w:r w:rsidRPr="00B56AB4">
              <w:rPr>
                <w:rStyle w:val="ra"/>
                <w:b/>
                <w:bCs/>
              </w:rPr>
              <w:t xml:space="preserve">GUARANT International spol. s </w:t>
            </w:r>
            <w:proofErr w:type="spellStart"/>
            <w:r w:rsidRPr="00B56AB4">
              <w:rPr>
                <w:rStyle w:val="ra"/>
                <w:b/>
                <w:bCs/>
              </w:rPr>
              <w:t>r.o</w:t>
            </w:r>
            <w:proofErr w:type="spellEnd"/>
            <w:r w:rsidRPr="00B56AB4">
              <w:rPr>
                <w:rStyle w:val="ra"/>
                <w:b/>
                <w:bCs/>
              </w:rPr>
              <w:t>,</w:t>
            </w:r>
          </w:p>
          <w:p w14:paraId="0C4ABF66" w14:textId="77777777" w:rsidR="00B56AB4" w:rsidRPr="009E71B0" w:rsidRDefault="00B56AB4" w:rsidP="00B56AB4">
            <w:pPr>
              <w:spacing w:before="37"/>
              <w:ind w:left="108"/>
              <w:rPr>
                <w:rStyle w:val="ra"/>
              </w:rPr>
            </w:pPr>
            <w:r w:rsidRPr="009E71B0">
              <w:rPr>
                <w:rStyle w:val="ra"/>
              </w:rPr>
              <w:t xml:space="preserve">Českomoravská 2510/19, </w:t>
            </w:r>
            <w:proofErr w:type="spellStart"/>
            <w:r w:rsidRPr="009E71B0">
              <w:rPr>
                <w:rStyle w:val="ra"/>
              </w:rPr>
              <w:t>Libeň</w:t>
            </w:r>
            <w:proofErr w:type="spellEnd"/>
            <w:r w:rsidRPr="009E71B0">
              <w:rPr>
                <w:rStyle w:val="ra"/>
              </w:rPr>
              <w:t>, 190 00 Praha</w:t>
            </w:r>
          </w:p>
          <w:p w14:paraId="1B5D8EB7" w14:textId="5833BE47" w:rsidR="00091AF8" w:rsidRPr="00B544DC" w:rsidRDefault="00B56AB4" w:rsidP="00B56AB4">
            <w:pPr>
              <w:spacing w:before="37"/>
              <w:ind w:left="108"/>
              <w:rPr>
                <w:rStyle w:val="ra"/>
              </w:rPr>
            </w:pPr>
            <w:r w:rsidRPr="009E71B0">
              <w:rPr>
                <w:rStyle w:val="ra"/>
              </w:rPr>
              <w:t>IČO: 45245401</w:t>
            </w:r>
          </w:p>
        </w:tc>
        <w:tc>
          <w:tcPr>
            <w:tcW w:w="2864" w:type="dxa"/>
            <w:vAlign w:val="center"/>
          </w:tcPr>
          <w:p w14:paraId="6F38C3AA" w14:textId="0250EF0B" w:rsidR="00091AF8" w:rsidRPr="00097D00" w:rsidRDefault="00091AF8" w:rsidP="00091AF8">
            <w:pPr>
              <w:spacing w:before="37"/>
              <w:ind w:left="108"/>
              <w:jc w:val="center"/>
              <w:rPr>
                <w:rFonts w:cs="Arial"/>
              </w:rPr>
            </w:pPr>
            <w:r>
              <w:rPr>
                <w:rFonts w:cs="Arial"/>
              </w:rPr>
              <w:t>196 572,85</w:t>
            </w:r>
          </w:p>
        </w:tc>
      </w:tr>
      <w:bookmarkEnd w:id="9"/>
      <w:bookmarkEnd w:id="10"/>
    </w:tbl>
    <w:p w14:paraId="74BD9F65" w14:textId="77777777" w:rsidR="00EF0DD7" w:rsidRDefault="00EF0DD7" w:rsidP="00D3183C">
      <w:pPr>
        <w:pStyle w:val="Zkladntext"/>
        <w:spacing w:before="1"/>
        <w:ind w:left="116"/>
        <w:rPr>
          <w:b/>
          <w:bCs/>
        </w:rPr>
      </w:pPr>
    </w:p>
    <w:p w14:paraId="32EFB4AD" w14:textId="535206EF" w:rsidR="002656F4" w:rsidRDefault="002656F4" w:rsidP="00D3183C">
      <w:pPr>
        <w:pStyle w:val="Zkladntext"/>
        <w:spacing w:before="1"/>
        <w:ind w:left="116"/>
        <w:rPr>
          <w:b/>
          <w:bCs/>
        </w:rPr>
      </w:pPr>
      <w:r>
        <w:rPr>
          <w:b/>
          <w:bCs/>
        </w:rPr>
        <w:t>Výsledné poradie</w:t>
      </w:r>
      <w:r w:rsidR="00BD0A9C">
        <w:rPr>
          <w:b/>
          <w:bCs/>
        </w:rPr>
        <w:t xml:space="preserve"> podľa prideleného počtu bodov</w:t>
      </w:r>
      <w:r w:rsidR="00C95849">
        <w:rPr>
          <w:b/>
          <w:bCs/>
        </w:rPr>
        <w:t>:</w:t>
      </w:r>
    </w:p>
    <w:p w14:paraId="0B1E38AA" w14:textId="77777777" w:rsidR="00C95849" w:rsidRPr="00D3183C" w:rsidRDefault="00C95849" w:rsidP="00D3183C">
      <w:pPr>
        <w:pStyle w:val="Zkladntext"/>
        <w:spacing w:before="1"/>
        <w:ind w:left="116"/>
        <w:rPr>
          <w:b/>
          <w:bCs/>
        </w:rPr>
      </w:pPr>
    </w:p>
    <w:p w14:paraId="5A0D8BAC" w14:textId="77777777" w:rsidR="000A6C66" w:rsidRDefault="000A6C66">
      <w:pPr>
        <w:pStyle w:val="Zkladntext"/>
        <w:spacing w:before="3"/>
        <w:rPr>
          <w:sz w:val="13"/>
        </w:rPr>
      </w:pPr>
    </w:p>
    <w:tbl>
      <w:tblPr>
        <w:tblStyle w:val="TableNormal10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402"/>
        <w:gridCol w:w="1418"/>
        <w:gridCol w:w="1701"/>
        <w:gridCol w:w="1559"/>
      </w:tblGrid>
      <w:tr w:rsidR="00EF0DD7" w:rsidRPr="00B544DC" w14:paraId="37DB9EF4" w14:textId="77777777" w:rsidTr="00626535">
        <w:trPr>
          <w:trHeight w:val="566"/>
        </w:trPr>
        <w:tc>
          <w:tcPr>
            <w:tcW w:w="992" w:type="dxa"/>
            <w:shd w:val="clear" w:color="auto" w:fill="DFDFDF"/>
            <w:vAlign w:val="center"/>
          </w:tcPr>
          <w:p w14:paraId="6C953CAF" w14:textId="77777777" w:rsidR="00EF0DD7" w:rsidRPr="00B544DC" w:rsidRDefault="00EF0DD7" w:rsidP="00963929">
            <w:pPr>
              <w:spacing w:before="155"/>
              <w:ind w:left="201" w:right="191"/>
              <w:jc w:val="center"/>
              <w:rPr>
                <w:b/>
                <w:lang w:eastAsia="en-US"/>
              </w:rPr>
            </w:pPr>
            <w:bookmarkStart w:id="11" w:name="_Hlk169076804"/>
            <w:r w:rsidRPr="00B544DC">
              <w:rPr>
                <w:b/>
                <w:lang w:eastAsia="en-US"/>
              </w:rPr>
              <w:t>Poradie</w:t>
            </w:r>
          </w:p>
        </w:tc>
        <w:tc>
          <w:tcPr>
            <w:tcW w:w="3402" w:type="dxa"/>
            <w:shd w:val="clear" w:color="auto" w:fill="DFDFDF"/>
            <w:vAlign w:val="center"/>
          </w:tcPr>
          <w:p w14:paraId="3445F2D2" w14:textId="77777777" w:rsidR="00EF0DD7" w:rsidRPr="00B544DC" w:rsidRDefault="00EF0DD7" w:rsidP="00963929">
            <w:pPr>
              <w:spacing w:line="257" w:lineRule="exact"/>
              <w:ind w:left="230" w:right="2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Uchádzač</w:t>
            </w:r>
          </w:p>
        </w:tc>
        <w:tc>
          <w:tcPr>
            <w:tcW w:w="1418" w:type="dxa"/>
            <w:shd w:val="clear" w:color="auto" w:fill="DFDFDF"/>
            <w:vAlign w:val="center"/>
          </w:tcPr>
          <w:p w14:paraId="7A8135D5" w14:textId="77777777" w:rsidR="00EF0DD7" w:rsidRPr="00B544DC" w:rsidRDefault="00EF0DD7" w:rsidP="00963929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</w:t>
            </w:r>
            <w:r w:rsidRPr="00B544DC">
              <w:rPr>
                <w:b/>
                <w:lang w:eastAsia="en-US"/>
              </w:rPr>
              <w:t>očet bodov</w:t>
            </w:r>
            <w:r>
              <w:rPr>
                <w:b/>
                <w:lang w:eastAsia="en-US"/>
              </w:rPr>
              <w:t xml:space="preserve"> “Koncept”</w:t>
            </w:r>
            <w:r w:rsidRPr="00B544DC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(max.</w:t>
            </w:r>
            <w:r w:rsidRPr="00B544DC">
              <w:rPr>
                <w:b/>
                <w:lang w:eastAsia="en-US"/>
              </w:rPr>
              <w:t xml:space="preserve"> 30</w:t>
            </w:r>
            <w:r>
              <w:rPr>
                <w:b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DFDFDF"/>
            <w:vAlign w:val="center"/>
          </w:tcPr>
          <w:p w14:paraId="49FB1A86" w14:textId="77777777" w:rsidR="00EF0DD7" w:rsidRPr="00B544DC" w:rsidRDefault="00EF0DD7" w:rsidP="00963929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</w:t>
            </w:r>
            <w:r w:rsidRPr="00B544DC">
              <w:rPr>
                <w:b/>
                <w:lang w:eastAsia="en-US"/>
              </w:rPr>
              <w:t>očet bodov</w:t>
            </w:r>
            <w:r>
              <w:rPr>
                <w:b/>
                <w:lang w:eastAsia="en-US"/>
              </w:rPr>
              <w:t xml:space="preserve"> “Všeobecná časť”</w:t>
            </w:r>
            <w:r w:rsidRPr="00B544DC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(max.</w:t>
            </w:r>
            <w:r w:rsidRPr="00B544DC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7</w:t>
            </w:r>
            <w:r w:rsidRPr="00B544DC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DFDFDF"/>
            <w:vAlign w:val="center"/>
          </w:tcPr>
          <w:p w14:paraId="4135611E" w14:textId="77777777" w:rsidR="00EF0DD7" w:rsidRPr="00B544DC" w:rsidRDefault="00EF0DD7" w:rsidP="00963929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Celkový počet bodov (max. 100)</w:t>
            </w:r>
          </w:p>
        </w:tc>
      </w:tr>
      <w:tr w:rsidR="00626535" w:rsidRPr="008A09CC" w14:paraId="14178AB4" w14:textId="77777777" w:rsidTr="00626535">
        <w:trPr>
          <w:trHeight w:val="709"/>
        </w:trPr>
        <w:tc>
          <w:tcPr>
            <w:tcW w:w="992" w:type="dxa"/>
            <w:vAlign w:val="center"/>
          </w:tcPr>
          <w:p w14:paraId="7F6DD56C" w14:textId="77777777" w:rsidR="00626535" w:rsidRPr="008A09CC" w:rsidRDefault="00626535" w:rsidP="00626535">
            <w:pPr>
              <w:spacing w:before="167"/>
              <w:ind w:left="198" w:right="191"/>
              <w:jc w:val="center"/>
              <w:rPr>
                <w:b/>
                <w:bCs/>
                <w:lang w:eastAsia="en-US"/>
              </w:rPr>
            </w:pPr>
            <w:r w:rsidRPr="008A09CC">
              <w:rPr>
                <w:b/>
                <w:bCs/>
                <w:lang w:eastAsia="en-US"/>
              </w:rPr>
              <w:t>1.</w:t>
            </w:r>
          </w:p>
        </w:tc>
        <w:tc>
          <w:tcPr>
            <w:tcW w:w="3402" w:type="dxa"/>
            <w:vAlign w:val="center"/>
          </w:tcPr>
          <w:p w14:paraId="33A187D2" w14:textId="55C43BE5" w:rsidR="00626535" w:rsidRPr="00091AF8" w:rsidRDefault="00626535" w:rsidP="00626535">
            <w:pPr>
              <w:spacing w:before="37"/>
              <w:ind w:left="108"/>
              <w:rPr>
                <w:b/>
                <w:bCs/>
                <w:lang w:eastAsia="en-US"/>
              </w:rPr>
            </w:pPr>
            <w:r w:rsidRPr="00091AF8">
              <w:rPr>
                <w:b/>
                <w:bCs/>
                <w:lang w:eastAsia="en-US"/>
              </w:rPr>
              <w:t>VIVA EVENTS, s.r.o.</w:t>
            </w:r>
          </w:p>
        </w:tc>
        <w:tc>
          <w:tcPr>
            <w:tcW w:w="1418" w:type="dxa"/>
            <w:vAlign w:val="center"/>
          </w:tcPr>
          <w:p w14:paraId="56E4593B" w14:textId="578CEC3A" w:rsidR="00626535" w:rsidRPr="00091AF8" w:rsidRDefault="00626535" w:rsidP="00626535">
            <w:pPr>
              <w:spacing w:before="37"/>
              <w:ind w:left="108"/>
              <w:jc w:val="center"/>
              <w:rPr>
                <w:b/>
                <w:bCs/>
                <w:lang w:eastAsia="en-US"/>
              </w:rPr>
            </w:pPr>
            <w:r w:rsidRPr="00091AF8">
              <w:rPr>
                <w:b/>
                <w:bCs/>
                <w:lang w:eastAsia="en-US"/>
              </w:rPr>
              <w:t>21,5</w:t>
            </w:r>
          </w:p>
        </w:tc>
        <w:tc>
          <w:tcPr>
            <w:tcW w:w="1701" w:type="dxa"/>
            <w:vAlign w:val="center"/>
          </w:tcPr>
          <w:p w14:paraId="11401363" w14:textId="65DBC1E9" w:rsidR="00626535" w:rsidRPr="00091AF8" w:rsidRDefault="00626535" w:rsidP="00626535">
            <w:pPr>
              <w:spacing w:before="37"/>
              <w:ind w:left="108"/>
              <w:jc w:val="center"/>
              <w:rPr>
                <w:b/>
                <w:bCs/>
                <w:lang w:eastAsia="en-US"/>
              </w:rPr>
            </w:pPr>
            <w:r w:rsidRPr="00091AF8">
              <w:rPr>
                <w:b/>
                <w:bCs/>
                <w:lang w:eastAsia="en-US"/>
              </w:rPr>
              <w:t>61,56</w:t>
            </w:r>
          </w:p>
        </w:tc>
        <w:tc>
          <w:tcPr>
            <w:tcW w:w="1559" w:type="dxa"/>
            <w:vAlign w:val="center"/>
          </w:tcPr>
          <w:p w14:paraId="62348678" w14:textId="298050F7" w:rsidR="00626535" w:rsidRPr="00091AF8" w:rsidRDefault="00626535" w:rsidP="00626535">
            <w:pPr>
              <w:spacing w:before="37"/>
              <w:ind w:left="108"/>
              <w:jc w:val="center"/>
              <w:rPr>
                <w:b/>
                <w:bCs/>
                <w:lang w:eastAsia="en-US"/>
              </w:rPr>
            </w:pPr>
            <w:r w:rsidRPr="00091AF8">
              <w:rPr>
                <w:b/>
                <w:bCs/>
                <w:lang w:eastAsia="en-US"/>
              </w:rPr>
              <w:t>83,06</w:t>
            </w:r>
          </w:p>
        </w:tc>
      </w:tr>
      <w:tr w:rsidR="00626535" w:rsidRPr="00B544DC" w14:paraId="2DB44B3A" w14:textId="77777777" w:rsidTr="00626535">
        <w:trPr>
          <w:trHeight w:val="592"/>
        </w:trPr>
        <w:tc>
          <w:tcPr>
            <w:tcW w:w="992" w:type="dxa"/>
            <w:vAlign w:val="center"/>
          </w:tcPr>
          <w:p w14:paraId="342A0C42" w14:textId="77777777" w:rsidR="00626535" w:rsidRPr="00B544DC" w:rsidRDefault="00626535" w:rsidP="00626535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3.</w:t>
            </w:r>
          </w:p>
        </w:tc>
        <w:tc>
          <w:tcPr>
            <w:tcW w:w="3402" w:type="dxa"/>
            <w:vAlign w:val="center"/>
          </w:tcPr>
          <w:p w14:paraId="4C24FEFE" w14:textId="77777777" w:rsidR="00626535" w:rsidRPr="002865D2" w:rsidRDefault="00626535" w:rsidP="00626535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 xml:space="preserve">CREATIVE PRO a.s., </w:t>
            </w:r>
          </w:p>
        </w:tc>
        <w:tc>
          <w:tcPr>
            <w:tcW w:w="1418" w:type="dxa"/>
            <w:vAlign w:val="center"/>
          </w:tcPr>
          <w:p w14:paraId="425726E5" w14:textId="79ACAFF4" w:rsidR="00626535" w:rsidRPr="00B544DC" w:rsidRDefault="00626535" w:rsidP="00626535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701" w:type="dxa"/>
            <w:vAlign w:val="center"/>
          </w:tcPr>
          <w:p w14:paraId="247C0A1E" w14:textId="28CD0B22" w:rsidR="00626535" w:rsidRPr="00B544DC" w:rsidRDefault="00626535" w:rsidP="00626535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61,44</w:t>
            </w:r>
          </w:p>
        </w:tc>
        <w:tc>
          <w:tcPr>
            <w:tcW w:w="1559" w:type="dxa"/>
            <w:vAlign w:val="center"/>
          </w:tcPr>
          <w:p w14:paraId="459CDC17" w14:textId="177925A1" w:rsidR="00626535" w:rsidRPr="00B544DC" w:rsidRDefault="00626535" w:rsidP="00626535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79,44</w:t>
            </w:r>
          </w:p>
        </w:tc>
      </w:tr>
      <w:tr w:rsidR="00DE7AC0" w:rsidRPr="00B544DC" w14:paraId="4E8371F0" w14:textId="77777777" w:rsidTr="00626535">
        <w:trPr>
          <w:trHeight w:val="592"/>
        </w:trPr>
        <w:tc>
          <w:tcPr>
            <w:tcW w:w="992" w:type="dxa"/>
            <w:vAlign w:val="center"/>
          </w:tcPr>
          <w:p w14:paraId="28845B7A" w14:textId="037F24AC" w:rsidR="00DE7AC0" w:rsidRPr="00B544DC" w:rsidRDefault="00DE7AC0" w:rsidP="00DE7AC0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2.</w:t>
            </w:r>
          </w:p>
        </w:tc>
        <w:tc>
          <w:tcPr>
            <w:tcW w:w="3402" w:type="dxa"/>
            <w:vAlign w:val="center"/>
          </w:tcPr>
          <w:p w14:paraId="78B630DB" w14:textId="3FAE9681" w:rsidR="00DE7AC0" w:rsidRPr="002865D2" w:rsidRDefault="00DE7AC0" w:rsidP="00DE7AC0">
            <w:pPr>
              <w:spacing w:before="37"/>
              <w:ind w:left="108"/>
              <w:rPr>
                <w:lang w:eastAsia="en-US"/>
              </w:rPr>
            </w:pPr>
            <w:r w:rsidRPr="009E71B0">
              <w:rPr>
                <w:rStyle w:val="ra"/>
              </w:rPr>
              <w:t>MONARCH, akciová spoločnosť</w:t>
            </w:r>
          </w:p>
        </w:tc>
        <w:tc>
          <w:tcPr>
            <w:tcW w:w="1418" w:type="dxa"/>
            <w:vAlign w:val="center"/>
          </w:tcPr>
          <w:p w14:paraId="007D4417" w14:textId="27D0994C" w:rsidR="00DE7AC0" w:rsidRDefault="00DE7AC0" w:rsidP="00DE7AC0">
            <w:pPr>
              <w:spacing w:before="37"/>
              <w:ind w:left="108"/>
              <w:jc w:val="center"/>
              <w:rPr>
                <w:lang w:eastAsia="en-US"/>
              </w:rPr>
            </w:pPr>
            <w:r w:rsidRPr="0082311B">
              <w:rPr>
                <w:lang w:eastAsia="en-US"/>
              </w:rPr>
              <w:t>19,4</w:t>
            </w:r>
          </w:p>
        </w:tc>
        <w:tc>
          <w:tcPr>
            <w:tcW w:w="1701" w:type="dxa"/>
            <w:vAlign w:val="center"/>
          </w:tcPr>
          <w:p w14:paraId="60A9C3A7" w14:textId="0895C890" w:rsidR="00DE7AC0" w:rsidRDefault="00DE7AC0" w:rsidP="00DE7AC0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59,82</w:t>
            </w:r>
          </w:p>
        </w:tc>
        <w:tc>
          <w:tcPr>
            <w:tcW w:w="1559" w:type="dxa"/>
            <w:vAlign w:val="center"/>
          </w:tcPr>
          <w:p w14:paraId="6BC3B854" w14:textId="753BE884" w:rsidR="00DE7AC0" w:rsidRDefault="00DE7AC0" w:rsidP="00DE7AC0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79,22</w:t>
            </w:r>
          </w:p>
        </w:tc>
      </w:tr>
      <w:tr w:rsidR="00DE7AC0" w:rsidRPr="00B544DC" w14:paraId="3BF7DC4E" w14:textId="77777777" w:rsidTr="00626535">
        <w:trPr>
          <w:trHeight w:val="592"/>
        </w:trPr>
        <w:tc>
          <w:tcPr>
            <w:tcW w:w="992" w:type="dxa"/>
            <w:vAlign w:val="center"/>
          </w:tcPr>
          <w:p w14:paraId="78B6C6FC" w14:textId="77777777" w:rsidR="00DE7AC0" w:rsidRPr="00B544DC" w:rsidRDefault="00DE7AC0" w:rsidP="00DE7AC0">
            <w:pPr>
              <w:spacing w:before="167"/>
              <w:ind w:left="198" w:right="1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B544DC">
              <w:rPr>
                <w:lang w:eastAsia="en-US"/>
              </w:rPr>
              <w:t>.</w:t>
            </w:r>
          </w:p>
        </w:tc>
        <w:tc>
          <w:tcPr>
            <w:tcW w:w="3402" w:type="dxa"/>
            <w:vAlign w:val="center"/>
          </w:tcPr>
          <w:p w14:paraId="16FCA65D" w14:textId="04EAF453" w:rsidR="00DE7AC0" w:rsidRPr="002865D2" w:rsidRDefault="00DE7AC0" w:rsidP="00DE7AC0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rStyle w:val="ra"/>
              </w:rPr>
              <w:t>MERTEL, s. r. o.</w:t>
            </w:r>
          </w:p>
        </w:tc>
        <w:tc>
          <w:tcPr>
            <w:tcW w:w="1418" w:type="dxa"/>
            <w:vAlign w:val="center"/>
          </w:tcPr>
          <w:p w14:paraId="7586F827" w14:textId="6F98D8BA" w:rsidR="00DE7AC0" w:rsidRPr="00B544DC" w:rsidRDefault="00DE7AC0" w:rsidP="00DE7AC0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15,5</w:t>
            </w:r>
          </w:p>
        </w:tc>
        <w:tc>
          <w:tcPr>
            <w:tcW w:w="1701" w:type="dxa"/>
            <w:vAlign w:val="center"/>
          </w:tcPr>
          <w:p w14:paraId="55EADD1D" w14:textId="3968390F" w:rsidR="00DE7AC0" w:rsidRPr="00B544DC" w:rsidRDefault="00DE7AC0" w:rsidP="00DE7AC0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rStyle w:val="ra"/>
              </w:rPr>
              <w:t>59,68</w:t>
            </w:r>
          </w:p>
        </w:tc>
        <w:tc>
          <w:tcPr>
            <w:tcW w:w="1559" w:type="dxa"/>
            <w:vAlign w:val="center"/>
          </w:tcPr>
          <w:p w14:paraId="2E317F92" w14:textId="6A0B559D" w:rsidR="00DE7AC0" w:rsidRPr="00B544DC" w:rsidRDefault="00DE7AC0" w:rsidP="00DE7AC0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rStyle w:val="ra"/>
              </w:rPr>
              <w:t>75,18</w:t>
            </w:r>
          </w:p>
        </w:tc>
      </w:tr>
      <w:tr w:rsidR="008841B5" w:rsidRPr="00B544DC" w14:paraId="3CBC19C0" w14:textId="77777777" w:rsidTr="003A20EB">
        <w:trPr>
          <w:trHeight w:val="623"/>
        </w:trPr>
        <w:tc>
          <w:tcPr>
            <w:tcW w:w="992" w:type="dxa"/>
            <w:vAlign w:val="center"/>
          </w:tcPr>
          <w:p w14:paraId="57525608" w14:textId="0634B001" w:rsidR="008841B5" w:rsidRDefault="008841B5" w:rsidP="003A20EB">
            <w:pPr>
              <w:ind w:left="198" w:right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402" w:type="dxa"/>
            <w:vAlign w:val="center"/>
          </w:tcPr>
          <w:p w14:paraId="0AD5B48B" w14:textId="6EB6E9EA" w:rsidR="008841B5" w:rsidRPr="002865D2" w:rsidRDefault="008841B5" w:rsidP="00DD58CD">
            <w:pPr>
              <w:spacing w:before="37"/>
              <w:ind w:left="108"/>
              <w:rPr>
                <w:rStyle w:val="ra"/>
              </w:rPr>
            </w:pPr>
            <w:r w:rsidRPr="009E71B0">
              <w:rPr>
                <w:rStyle w:val="ra"/>
              </w:rPr>
              <w:t xml:space="preserve">GUARANT International spol. s </w:t>
            </w:r>
            <w:proofErr w:type="spellStart"/>
            <w:r w:rsidRPr="009E71B0">
              <w:rPr>
                <w:rStyle w:val="ra"/>
              </w:rPr>
              <w:t>r.o</w:t>
            </w:r>
            <w:proofErr w:type="spellEnd"/>
            <w:r w:rsidRPr="009E71B0">
              <w:rPr>
                <w:rStyle w:val="ra"/>
              </w:rPr>
              <w:t xml:space="preserve">, </w:t>
            </w:r>
          </w:p>
        </w:tc>
        <w:tc>
          <w:tcPr>
            <w:tcW w:w="1418" w:type="dxa"/>
            <w:vAlign w:val="center"/>
          </w:tcPr>
          <w:p w14:paraId="437BDE09" w14:textId="77777777" w:rsidR="008841B5" w:rsidRPr="00B544DC" w:rsidRDefault="008841B5" w:rsidP="003A20EB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1701" w:type="dxa"/>
            <w:vAlign w:val="center"/>
          </w:tcPr>
          <w:p w14:paraId="0201D930" w14:textId="77777777" w:rsidR="008841B5" w:rsidRDefault="008841B5" w:rsidP="003A20EB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559" w:type="dxa"/>
            <w:vAlign w:val="center"/>
          </w:tcPr>
          <w:p w14:paraId="1BF5B8B8" w14:textId="77777777" w:rsidR="008841B5" w:rsidRDefault="008841B5" w:rsidP="003A20EB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74,5</w:t>
            </w:r>
          </w:p>
        </w:tc>
      </w:tr>
      <w:tr w:rsidR="008841B5" w:rsidRPr="00B544DC" w14:paraId="54E6BE8A" w14:textId="77777777" w:rsidTr="003A20EB">
        <w:trPr>
          <w:trHeight w:val="623"/>
        </w:trPr>
        <w:tc>
          <w:tcPr>
            <w:tcW w:w="992" w:type="dxa"/>
            <w:vAlign w:val="center"/>
          </w:tcPr>
          <w:p w14:paraId="3A9E33CF" w14:textId="77777777" w:rsidR="008841B5" w:rsidRDefault="008841B5" w:rsidP="003A20EB">
            <w:pPr>
              <w:ind w:left="198" w:right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402" w:type="dxa"/>
            <w:vAlign w:val="center"/>
          </w:tcPr>
          <w:p w14:paraId="6236575A" w14:textId="77777777" w:rsidR="008841B5" w:rsidRPr="002865D2" w:rsidRDefault="008841B5" w:rsidP="003A20EB">
            <w:pPr>
              <w:spacing w:before="37"/>
              <w:ind w:left="108"/>
              <w:rPr>
                <w:rStyle w:val="ra"/>
              </w:rPr>
            </w:pPr>
            <w:r w:rsidRPr="002865D2">
              <w:rPr>
                <w:lang w:eastAsia="en-US"/>
              </w:rPr>
              <w:t>E-MOTION s.r.o.</w:t>
            </w:r>
          </w:p>
        </w:tc>
        <w:tc>
          <w:tcPr>
            <w:tcW w:w="1418" w:type="dxa"/>
            <w:vAlign w:val="center"/>
          </w:tcPr>
          <w:p w14:paraId="59C1F8A7" w14:textId="77777777" w:rsidR="008841B5" w:rsidRPr="00B544DC" w:rsidRDefault="008841B5" w:rsidP="003A20EB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701" w:type="dxa"/>
            <w:vAlign w:val="center"/>
          </w:tcPr>
          <w:p w14:paraId="016CFA29" w14:textId="77777777" w:rsidR="008841B5" w:rsidRDefault="008841B5" w:rsidP="003A20EB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58,07</w:t>
            </w:r>
          </w:p>
        </w:tc>
        <w:tc>
          <w:tcPr>
            <w:tcW w:w="1559" w:type="dxa"/>
            <w:vAlign w:val="center"/>
          </w:tcPr>
          <w:p w14:paraId="4CC5A20E" w14:textId="77777777" w:rsidR="008841B5" w:rsidRDefault="008841B5" w:rsidP="003A20EB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71,07</w:t>
            </w:r>
          </w:p>
        </w:tc>
      </w:tr>
      <w:tr w:rsidR="00DE7AC0" w:rsidRPr="00B544DC" w14:paraId="13F4A07B" w14:textId="77777777" w:rsidTr="00626535">
        <w:trPr>
          <w:trHeight w:val="623"/>
        </w:trPr>
        <w:tc>
          <w:tcPr>
            <w:tcW w:w="992" w:type="dxa"/>
            <w:vAlign w:val="center"/>
          </w:tcPr>
          <w:p w14:paraId="2ECB7521" w14:textId="2E50C3FF" w:rsidR="00DE7AC0" w:rsidRPr="00B544DC" w:rsidRDefault="008841B5" w:rsidP="00DE7AC0">
            <w:pPr>
              <w:ind w:left="198" w:right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DE7AC0">
              <w:rPr>
                <w:lang w:eastAsia="en-US"/>
              </w:rPr>
              <w:t>.</w:t>
            </w:r>
          </w:p>
        </w:tc>
        <w:tc>
          <w:tcPr>
            <w:tcW w:w="3402" w:type="dxa"/>
            <w:vAlign w:val="center"/>
          </w:tcPr>
          <w:p w14:paraId="4E592FD4" w14:textId="3009CF7A" w:rsidR="00DE7AC0" w:rsidRPr="002865D2" w:rsidRDefault="00DE7AC0" w:rsidP="00DE7AC0">
            <w:pPr>
              <w:spacing w:before="37"/>
              <w:ind w:left="108"/>
              <w:rPr>
                <w:rStyle w:val="ra"/>
              </w:rPr>
            </w:pPr>
            <w:r w:rsidRPr="009E71B0">
              <w:rPr>
                <w:rStyle w:val="ra"/>
              </w:rPr>
              <w:t xml:space="preserve">MW PROMOTION, spol. s </w:t>
            </w:r>
            <w:proofErr w:type="spellStart"/>
            <w:r w:rsidRPr="009E71B0">
              <w:rPr>
                <w:rStyle w:val="ra"/>
              </w:rPr>
              <w:t>r.o</w:t>
            </w:r>
            <w:proofErr w:type="spellEnd"/>
            <w:r w:rsidRPr="009E71B0">
              <w:rPr>
                <w:rStyle w:val="ra"/>
              </w:rPr>
              <w:t>.</w:t>
            </w:r>
          </w:p>
        </w:tc>
        <w:tc>
          <w:tcPr>
            <w:tcW w:w="1418" w:type="dxa"/>
            <w:vAlign w:val="center"/>
          </w:tcPr>
          <w:p w14:paraId="09644FA5" w14:textId="55BF5D2B" w:rsidR="00DE7AC0" w:rsidRPr="00B544DC" w:rsidRDefault="00DE7AC0" w:rsidP="00DE7AC0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rStyle w:val="ra"/>
              </w:rPr>
              <w:t>15,3</w:t>
            </w:r>
          </w:p>
        </w:tc>
        <w:tc>
          <w:tcPr>
            <w:tcW w:w="1701" w:type="dxa"/>
            <w:vAlign w:val="center"/>
          </w:tcPr>
          <w:p w14:paraId="68501D45" w14:textId="39FCF581" w:rsidR="00DE7AC0" w:rsidRPr="00B544DC" w:rsidRDefault="00DE7AC0" w:rsidP="00DE7AC0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55,57</w:t>
            </w:r>
          </w:p>
        </w:tc>
        <w:tc>
          <w:tcPr>
            <w:tcW w:w="1559" w:type="dxa"/>
            <w:vAlign w:val="center"/>
          </w:tcPr>
          <w:p w14:paraId="647FBFF9" w14:textId="6C797B72" w:rsidR="00DE7AC0" w:rsidRPr="00B544DC" w:rsidRDefault="00DE7AC0" w:rsidP="00DE7AC0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70,87</w:t>
            </w:r>
          </w:p>
        </w:tc>
      </w:tr>
      <w:bookmarkEnd w:id="11"/>
    </w:tbl>
    <w:p w14:paraId="54A6A7CC" w14:textId="77777777" w:rsidR="00E0628E" w:rsidRDefault="00E0628E"/>
    <w:sectPr w:rsidR="00E0628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92B7A"/>
    <w:multiLevelType w:val="hybridMultilevel"/>
    <w:tmpl w:val="BB8A2C62"/>
    <w:lvl w:ilvl="0" w:tplc="1674E110">
      <w:start w:val="12"/>
      <w:numFmt w:val="bullet"/>
      <w:lvlText w:val="-"/>
      <w:lvlJc w:val="left"/>
      <w:pPr>
        <w:ind w:left="644" w:hanging="360"/>
      </w:pPr>
      <w:rPr>
        <w:rFonts w:ascii="Cambria" w:eastAsia="Cambria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9182943"/>
    <w:multiLevelType w:val="hybridMultilevel"/>
    <w:tmpl w:val="48DA4B74"/>
    <w:lvl w:ilvl="0" w:tplc="366E8912">
      <w:start w:val="1"/>
      <w:numFmt w:val="lowerLetter"/>
      <w:lvlText w:val="%1)"/>
      <w:lvlJc w:val="left"/>
      <w:pPr>
        <w:ind w:left="399" w:hanging="284"/>
        <w:jc w:val="left"/>
      </w:pPr>
      <w:rPr>
        <w:rFonts w:hint="default"/>
        <w:b/>
        <w:bCs/>
        <w:spacing w:val="0"/>
        <w:w w:val="100"/>
        <w:lang w:val="sk-SK" w:eastAsia="sk-SK" w:bidi="sk-SK"/>
      </w:rPr>
    </w:lvl>
    <w:lvl w:ilvl="1" w:tplc="1B3ACDF0">
      <w:numFmt w:val="bullet"/>
      <w:lvlText w:val="•"/>
      <w:lvlJc w:val="left"/>
      <w:pPr>
        <w:ind w:left="840" w:hanging="284"/>
      </w:pPr>
      <w:rPr>
        <w:rFonts w:hint="default"/>
        <w:lang w:val="sk-SK" w:eastAsia="sk-SK" w:bidi="sk-SK"/>
      </w:rPr>
    </w:lvl>
    <w:lvl w:ilvl="2" w:tplc="ECA03CFE">
      <w:numFmt w:val="bullet"/>
      <w:lvlText w:val="•"/>
      <w:lvlJc w:val="left"/>
      <w:pPr>
        <w:ind w:left="1780" w:hanging="284"/>
      </w:pPr>
      <w:rPr>
        <w:rFonts w:hint="default"/>
        <w:lang w:val="sk-SK" w:eastAsia="sk-SK" w:bidi="sk-SK"/>
      </w:rPr>
    </w:lvl>
    <w:lvl w:ilvl="3" w:tplc="4E9AF9B2">
      <w:numFmt w:val="bullet"/>
      <w:lvlText w:val="•"/>
      <w:lvlJc w:val="left"/>
      <w:pPr>
        <w:ind w:left="2721" w:hanging="284"/>
      </w:pPr>
      <w:rPr>
        <w:rFonts w:hint="default"/>
        <w:lang w:val="sk-SK" w:eastAsia="sk-SK" w:bidi="sk-SK"/>
      </w:rPr>
    </w:lvl>
    <w:lvl w:ilvl="4" w:tplc="D634265A">
      <w:numFmt w:val="bullet"/>
      <w:lvlText w:val="•"/>
      <w:lvlJc w:val="left"/>
      <w:pPr>
        <w:ind w:left="3662" w:hanging="284"/>
      </w:pPr>
      <w:rPr>
        <w:rFonts w:hint="default"/>
        <w:lang w:val="sk-SK" w:eastAsia="sk-SK" w:bidi="sk-SK"/>
      </w:rPr>
    </w:lvl>
    <w:lvl w:ilvl="5" w:tplc="9642F512">
      <w:numFmt w:val="bullet"/>
      <w:lvlText w:val="•"/>
      <w:lvlJc w:val="left"/>
      <w:pPr>
        <w:ind w:left="4602" w:hanging="284"/>
      </w:pPr>
      <w:rPr>
        <w:rFonts w:hint="default"/>
        <w:lang w:val="sk-SK" w:eastAsia="sk-SK" w:bidi="sk-SK"/>
      </w:rPr>
    </w:lvl>
    <w:lvl w:ilvl="6" w:tplc="6CF46386">
      <w:numFmt w:val="bullet"/>
      <w:lvlText w:val="•"/>
      <w:lvlJc w:val="left"/>
      <w:pPr>
        <w:ind w:left="5543" w:hanging="284"/>
      </w:pPr>
      <w:rPr>
        <w:rFonts w:hint="default"/>
        <w:lang w:val="sk-SK" w:eastAsia="sk-SK" w:bidi="sk-SK"/>
      </w:rPr>
    </w:lvl>
    <w:lvl w:ilvl="7" w:tplc="9A842892">
      <w:numFmt w:val="bullet"/>
      <w:lvlText w:val="•"/>
      <w:lvlJc w:val="left"/>
      <w:pPr>
        <w:ind w:left="6484" w:hanging="284"/>
      </w:pPr>
      <w:rPr>
        <w:rFonts w:hint="default"/>
        <w:lang w:val="sk-SK" w:eastAsia="sk-SK" w:bidi="sk-SK"/>
      </w:rPr>
    </w:lvl>
    <w:lvl w:ilvl="8" w:tplc="E13C7922">
      <w:numFmt w:val="bullet"/>
      <w:lvlText w:val="•"/>
      <w:lvlJc w:val="left"/>
      <w:pPr>
        <w:ind w:left="7424" w:hanging="284"/>
      </w:pPr>
      <w:rPr>
        <w:rFonts w:hint="default"/>
        <w:lang w:val="sk-SK" w:eastAsia="sk-SK" w:bidi="sk-SK"/>
      </w:rPr>
    </w:lvl>
  </w:abstractNum>
  <w:num w:numId="1" w16cid:durableId="360321513">
    <w:abstractNumId w:val="1"/>
  </w:num>
  <w:num w:numId="2" w16cid:durableId="166789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66"/>
    <w:rsid w:val="00041219"/>
    <w:rsid w:val="00091AF8"/>
    <w:rsid w:val="000A6C66"/>
    <w:rsid w:val="000E221C"/>
    <w:rsid w:val="000F6D1D"/>
    <w:rsid w:val="0010510E"/>
    <w:rsid w:val="001F325D"/>
    <w:rsid w:val="0021377A"/>
    <w:rsid w:val="00214998"/>
    <w:rsid w:val="00227D0B"/>
    <w:rsid w:val="002656F4"/>
    <w:rsid w:val="00277CB4"/>
    <w:rsid w:val="00340F0F"/>
    <w:rsid w:val="00353FCE"/>
    <w:rsid w:val="003653DE"/>
    <w:rsid w:val="00383BC1"/>
    <w:rsid w:val="004724DD"/>
    <w:rsid w:val="004E3B43"/>
    <w:rsid w:val="00502E55"/>
    <w:rsid w:val="00567465"/>
    <w:rsid w:val="005C68F3"/>
    <w:rsid w:val="005D748E"/>
    <w:rsid w:val="005E4940"/>
    <w:rsid w:val="005F3E20"/>
    <w:rsid w:val="00626535"/>
    <w:rsid w:val="00627C0C"/>
    <w:rsid w:val="00670494"/>
    <w:rsid w:val="006A6EF5"/>
    <w:rsid w:val="007D4D75"/>
    <w:rsid w:val="008058E7"/>
    <w:rsid w:val="00845B0A"/>
    <w:rsid w:val="008841B5"/>
    <w:rsid w:val="00911210"/>
    <w:rsid w:val="00942175"/>
    <w:rsid w:val="009C4E02"/>
    <w:rsid w:val="00A40E51"/>
    <w:rsid w:val="00A47FDB"/>
    <w:rsid w:val="00AC29AC"/>
    <w:rsid w:val="00AC4BAA"/>
    <w:rsid w:val="00B56AB4"/>
    <w:rsid w:val="00B91919"/>
    <w:rsid w:val="00BD0A9C"/>
    <w:rsid w:val="00C1224D"/>
    <w:rsid w:val="00C34C50"/>
    <w:rsid w:val="00C95849"/>
    <w:rsid w:val="00D20C80"/>
    <w:rsid w:val="00D3183C"/>
    <w:rsid w:val="00D61246"/>
    <w:rsid w:val="00D67088"/>
    <w:rsid w:val="00DC3918"/>
    <w:rsid w:val="00DD58CD"/>
    <w:rsid w:val="00DE7AC0"/>
    <w:rsid w:val="00E0628E"/>
    <w:rsid w:val="00E153DC"/>
    <w:rsid w:val="00E72A84"/>
    <w:rsid w:val="00EB6447"/>
    <w:rsid w:val="00EC0F7E"/>
    <w:rsid w:val="00EE34CA"/>
    <w:rsid w:val="00EF0DD7"/>
    <w:rsid w:val="00F1748B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E5F1"/>
  <w15:docId w15:val="{DA9751B4-3079-4961-989F-C18CD507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mbria" w:eastAsia="Cambria" w:hAnsi="Cambria" w:cs="Cambria"/>
      <w:lang w:val="sk-SK" w:eastAsia="sk-SK" w:bidi="sk-SK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6"/>
    </w:pPr>
  </w:style>
  <w:style w:type="paragraph" w:styleId="Odsekzoznamu">
    <w:name w:val="List Paragraph"/>
    <w:basedOn w:val="Normlny"/>
    <w:uiPriority w:val="1"/>
    <w:qFormat/>
    <w:pPr>
      <w:ind w:left="358" w:hanging="284"/>
    </w:pPr>
  </w:style>
  <w:style w:type="paragraph" w:customStyle="1" w:styleId="TableParagraph">
    <w:name w:val="Table Paragraph"/>
    <w:basedOn w:val="Normlny"/>
    <w:uiPriority w:val="1"/>
    <w:qFormat/>
    <w:pPr>
      <w:spacing w:before="2"/>
      <w:ind w:left="107"/>
    </w:pPr>
  </w:style>
  <w:style w:type="paragraph" w:styleId="Hlavika">
    <w:name w:val="header"/>
    <w:basedOn w:val="Normlny"/>
    <w:link w:val="HlavikaChar"/>
    <w:unhideWhenUsed/>
    <w:rsid w:val="0021377A"/>
    <w:pPr>
      <w:widowControl/>
      <w:tabs>
        <w:tab w:val="center" w:pos="4703"/>
        <w:tab w:val="right" w:pos="9406"/>
      </w:tabs>
      <w:autoSpaceDE/>
      <w:autoSpaceDN/>
    </w:pPr>
    <w:rPr>
      <w:rFonts w:ascii="Calibri" w:eastAsia="Calibri" w:hAnsi="Calibri" w:cs="Times New Roman"/>
      <w:sz w:val="24"/>
      <w:szCs w:val="24"/>
      <w:lang w:eastAsia="en-US" w:bidi="ar-SA"/>
    </w:rPr>
  </w:style>
  <w:style w:type="character" w:customStyle="1" w:styleId="HlavikaChar">
    <w:name w:val="Hlavička Char"/>
    <w:basedOn w:val="Predvolenpsmoodseku"/>
    <w:link w:val="Hlavika"/>
    <w:rsid w:val="0021377A"/>
    <w:rPr>
      <w:rFonts w:ascii="Calibri" w:eastAsia="Calibri" w:hAnsi="Calibri" w:cs="Times New Roman"/>
      <w:sz w:val="24"/>
      <w:szCs w:val="24"/>
      <w:lang w:val="sk-SK"/>
    </w:rPr>
  </w:style>
  <w:style w:type="table" w:customStyle="1" w:styleId="TableNormal10">
    <w:name w:val="Table Normal1"/>
    <w:uiPriority w:val="2"/>
    <w:semiHidden/>
    <w:unhideWhenUsed/>
    <w:qFormat/>
    <w:rsid w:val="00D3183C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10510E"/>
    <w:pPr>
      <w:widowControl/>
      <w:autoSpaceDE/>
      <w:autoSpaceDN/>
    </w:pPr>
    <w:rPr>
      <w:rFonts w:ascii="Cambria" w:eastAsia="Cambria" w:hAnsi="Cambria" w:cs="Cambria"/>
      <w:lang w:val="sk-SK" w:eastAsia="sk-SK" w:bidi="sk-SK"/>
    </w:rPr>
  </w:style>
  <w:style w:type="character" w:customStyle="1" w:styleId="ra">
    <w:name w:val="ra"/>
    <w:basedOn w:val="Predvolenpsmoodseku"/>
    <w:rsid w:val="00C1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Holič</cp:lastModifiedBy>
  <cp:revision>2</cp:revision>
  <dcterms:created xsi:type="dcterms:W3CDTF">2024-06-12T16:32:00Z</dcterms:created>
  <dcterms:modified xsi:type="dcterms:W3CDTF">2024-06-13T13:04:00Z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2024-03-18T00:00:00Z</vt:filetime>
  </property>
</Properties>
</file>