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E826AC" w14:textId="77777777" w:rsidR="000A6C66" w:rsidRDefault="00E0628E">
      <w:pPr>
        <w:pStyle w:val="Zkladntext"/>
        <w:spacing w:before="0"/>
        <w:ind w:left="32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8016CD" wp14:editId="04F77A36">
            <wp:extent cx="1799791" cy="708564"/>
            <wp:effectExtent l="0" t="0" r="0" b="0"/>
            <wp:docPr id="1" name="image1.png" descr="K:\DIZAJN MANUÁL NBS_SCHVÁLENÝ_2019\Základný Dizajn manuál NBS_FINAL_2018\LOGOTYP\01 - SK\01 - w EUROSYSTEM\01- BLUE\02 - RGB\PNG\LOGO-NBS-EUROSYSTEM-SK-A-BLUE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791" cy="70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06706" w14:textId="77777777" w:rsidR="000A6C66" w:rsidRDefault="000A6C66">
      <w:pPr>
        <w:pStyle w:val="Zkladntext"/>
        <w:spacing w:before="8"/>
        <w:rPr>
          <w:rFonts w:ascii="Times New Roman"/>
          <w:sz w:val="12"/>
        </w:rPr>
      </w:pPr>
    </w:p>
    <w:p w14:paraId="0D1CF466" w14:textId="44411544" w:rsidR="000A6C66" w:rsidRDefault="00E0628E">
      <w:pPr>
        <w:pStyle w:val="Zkladntext"/>
        <w:spacing w:before="101" w:line="288" w:lineRule="auto"/>
        <w:ind w:left="5781" w:right="573"/>
      </w:pPr>
      <w:r>
        <w:t xml:space="preserve">Číslo spisu: </w:t>
      </w:r>
      <w:r w:rsidR="00D20C80" w:rsidRPr="00B544DC">
        <w:t>NBS1-000-096-859</w:t>
      </w:r>
      <w:r w:rsidR="00D20C80" w:rsidRPr="00B544DC">
        <w:rPr>
          <w:b/>
          <w:bCs/>
        </w:rPr>
        <w:t xml:space="preserve"> </w:t>
      </w:r>
      <w:r>
        <w:t xml:space="preserve">V Bratislave, dňa </w:t>
      </w:r>
      <w:r w:rsidR="00E72A84">
        <w:t>12</w:t>
      </w:r>
      <w:r>
        <w:t>.</w:t>
      </w:r>
      <w:r w:rsidR="0021377A">
        <w:t>0</w:t>
      </w:r>
      <w:r w:rsidR="00E72A84">
        <w:t>6</w:t>
      </w:r>
      <w:r>
        <w:t>.202</w:t>
      </w:r>
      <w:r w:rsidR="0021377A">
        <w:t>4</w:t>
      </w:r>
    </w:p>
    <w:p w14:paraId="2AD8AEC5" w14:textId="77777777" w:rsidR="000A6C66" w:rsidRDefault="000A6C66">
      <w:pPr>
        <w:pStyle w:val="Zkladntext"/>
        <w:spacing w:before="2"/>
        <w:rPr>
          <w:sz w:val="24"/>
        </w:rPr>
      </w:pPr>
    </w:p>
    <w:p w14:paraId="55B59180" w14:textId="77777777" w:rsidR="000A6C66" w:rsidRDefault="00E0628E">
      <w:pPr>
        <w:pStyle w:val="Nadpis1"/>
        <w:ind w:left="531" w:right="534"/>
        <w:jc w:val="center"/>
      </w:pPr>
      <w:r>
        <w:t>INFORMÁCIA O VÝSLEDKU VYHODNOTENIA PONÚK</w:t>
      </w:r>
    </w:p>
    <w:p w14:paraId="319BB334" w14:textId="77777777" w:rsidR="000A6C66" w:rsidRDefault="00E0628E">
      <w:pPr>
        <w:spacing w:before="40"/>
        <w:ind w:left="534" w:right="534"/>
        <w:jc w:val="center"/>
        <w:rPr>
          <w:b/>
        </w:rPr>
      </w:pPr>
      <w:r>
        <w:rPr>
          <w:b/>
        </w:rPr>
        <w:t>A PORADIE UCHÁDZAČOV</w:t>
      </w:r>
    </w:p>
    <w:p w14:paraId="3D36B000" w14:textId="77777777" w:rsidR="000A6C66" w:rsidRDefault="00E0628E">
      <w:pPr>
        <w:pStyle w:val="Zkladntext"/>
        <w:spacing w:before="37" w:line="276" w:lineRule="auto"/>
        <w:ind w:left="536" w:right="534"/>
        <w:jc w:val="center"/>
      </w:pPr>
      <w:r>
        <w:t>podľa § 55 ods. 2 zákona č. 343/2015 Z. z. o verejnom obstarávaní a o zmene a doplnení niektorých zákonov v znení neskorších predpisov</w:t>
      </w:r>
    </w:p>
    <w:p w14:paraId="760ACF3B" w14:textId="77777777" w:rsidR="000A6C66" w:rsidRDefault="00E0628E">
      <w:pPr>
        <w:pStyle w:val="Zkladntext"/>
        <w:spacing w:before="2"/>
        <w:ind w:left="535" w:right="534"/>
        <w:jc w:val="center"/>
      </w:pPr>
      <w:r>
        <w:t>(ďalej len „zákon o verejnom obstarávaní“)</w:t>
      </w:r>
    </w:p>
    <w:p w14:paraId="17BD0578" w14:textId="77777777" w:rsidR="000A6C66" w:rsidRDefault="000A6C66">
      <w:pPr>
        <w:pStyle w:val="Zkladntext"/>
        <w:spacing w:before="0"/>
        <w:rPr>
          <w:sz w:val="26"/>
        </w:rPr>
      </w:pPr>
    </w:p>
    <w:p w14:paraId="498789F6" w14:textId="77777777" w:rsidR="000A6C66" w:rsidRDefault="000A6C66">
      <w:pPr>
        <w:pStyle w:val="Zkladntext"/>
        <w:spacing w:before="9"/>
        <w:rPr>
          <w:sz w:val="27"/>
        </w:rPr>
      </w:pPr>
    </w:p>
    <w:p w14:paraId="6FC47323" w14:textId="77777777" w:rsidR="000A6C66" w:rsidRDefault="00E0628E">
      <w:pPr>
        <w:pStyle w:val="Nadpis1"/>
        <w:tabs>
          <w:tab w:val="left" w:pos="3656"/>
        </w:tabs>
      </w:pPr>
      <w:r>
        <w:t>Verejný</w:t>
      </w:r>
      <w:r>
        <w:rPr>
          <w:spacing w:val="-2"/>
        </w:rPr>
        <w:t xml:space="preserve"> </w:t>
      </w:r>
      <w:r>
        <w:t>obstarávateľ:</w:t>
      </w:r>
      <w:r>
        <w:tab/>
        <w:t>Národná banka</w:t>
      </w:r>
      <w:r>
        <w:rPr>
          <w:spacing w:val="-3"/>
        </w:rPr>
        <w:t xml:space="preserve"> </w:t>
      </w:r>
      <w:r>
        <w:t>Slovenska</w:t>
      </w:r>
    </w:p>
    <w:p w14:paraId="5E81FE93" w14:textId="77777777" w:rsidR="000A6C66" w:rsidRDefault="000A6C66">
      <w:pPr>
        <w:pStyle w:val="Zkladntext"/>
        <w:spacing w:before="7"/>
        <w:rPr>
          <w:b/>
          <w:sz w:val="28"/>
        </w:rPr>
      </w:pPr>
    </w:p>
    <w:p w14:paraId="3C1026CB" w14:textId="77777777" w:rsidR="000A6C66" w:rsidRDefault="00E0628E">
      <w:pPr>
        <w:tabs>
          <w:tab w:val="left" w:pos="3656"/>
        </w:tabs>
        <w:ind w:left="116"/>
      </w:pPr>
      <w:r>
        <w:rPr>
          <w:b/>
        </w:rPr>
        <w:t>Sídlo</w:t>
      </w:r>
      <w:r>
        <w:rPr>
          <w:b/>
          <w:spacing w:val="-2"/>
        </w:rPr>
        <w:t xml:space="preserve"> </w:t>
      </w:r>
      <w:r>
        <w:rPr>
          <w:b/>
        </w:rPr>
        <w:t>verejného</w:t>
      </w:r>
      <w:r>
        <w:rPr>
          <w:b/>
          <w:spacing w:val="-2"/>
        </w:rPr>
        <w:t xml:space="preserve"> </w:t>
      </w:r>
      <w:r>
        <w:rPr>
          <w:b/>
        </w:rPr>
        <w:t>obstarávateľa</w:t>
      </w:r>
      <w:r>
        <w:t>:</w:t>
      </w:r>
      <w:r>
        <w:tab/>
        <w:t xml:space="preserve">Imricha </w:t>
      </w:r>
      <w:proofErr w:type="spellStart"/>
      <w:r>
        <w:t>Karvaša</w:t>
      </w:r>
      <w:proofErr w:type="spellEnd"/>
      <w:r>
        <w:t xml:space="preserve"> 1, 813 25</w:t>
      </w:r>
      <w:r>
        <w:rPr>
          <w:spacing w:val="-1"/>
        </w:rPr>
        <w:t xml:space="preserve"> </w:t>
      </w:r>
      <w:r>
        <w:t>Bratislava</w:t>
      </w:r>
    </w:p>
    <w:p w14:paraId="52AD07F8" w14:textId="77777777" w:rsidR="000A6C66" w:rsidRDefault="000A6C66">
      <w:pPr>
        <w:pStyle w:val="Zkladntext"/>
        <w:spacing w:before="1"/>
        <w:rPr>
          <w:sz w:val="25"/>
        </w:rPr>
      </w:pPr>
    </w:p>
    <w:p w14:paraId="4D768E98" w14:textId="25139D59" w:rsidR="000A6C66" w:rsidRDefault="00E0628E" w:rsidP="00E72A84">
      <w:pPr>
        <w:tabs>
          <w:tab w:val="left" w:pos="3656"/>
        </w:tabs>
        <w:ind w:left="116"/>
        <w:jc w:val="both"/>
        <w:rPr>
          <w:rFonts w:cs="Arial"/>
          <w:b/>
          <w:bCs/>
        </w:rPr>
      </w:pPr>
      <w:r>
        <w:rPr>
          <w:b/>
        </w:rPr>
        <w:t>Predmet zákazky:</w:t>
      </w:r>
      <w:r>
        <w:rPr>
          <w:b/>
        </w:rPr>
        <w:tab/>
      </w:r>
      <w:bookmarkStart w:id="0" w:name="_Hlk169076221"/>
      <w:r w:rsidR="00E72A84" w:rsidRPr="00E72A84">
        <w:rPr>
          <w:rFonts w:cs="Arial"/>
        </w:rPr>
        <w:t xml:space="preserve">Organizácia podujatia EFA 2024 – </w:t>
      </w:r>
      <w:proofErr w:type="spellStart"/>
      <w:r w:rsidR="00E72A84" w:rsidRPr="00E72A84">
        <w:rPr>
          <w:rFonts w:cs="Arial"/>
        </w:rPr>
        <w:t>European</w:t>
      </w:r>
      <w:proofErr w:type="spellEnd"/>
      <w:r w:rsidR="00E72A84" w:rsidRPr="00E72A84">
        <w:rPr>
          <w:rFonts w:cs="Arial"/>
        </w:rPr>
        <w:t xml:space="preserve"> </w:t>
      </w:r>
      <w:proofErr w:type="spellStart"/>
      <w:r w:rsidR="00E72A84" w:rsidRPr="00E72A84">
        <w:rPr>
          <w:rFonts w:cs="Arial"/>
        </w:rPr>
        <w:t>Finance</w:t>
      </w:r>
      <w:proofErr w:type="spellEnd"/>
      <w:r w:rsidR="00E72A84" w:rsidRPr="00E72A84">
        <w:rPr>
          <w:rFonts w:cs="Arial"/>
        </w:rPr>
        <w:t xml:space="preserve"> </w:t>
      </w:r>
      <w:r w:rsidR="00E72A84" w:rsidRPr="00E72A84">
        <w:rPr>
          <w:rFonts w:cs="Arial"/>
        </w:rPr>
        <w:tab/>
        <w:t xml:space="preserve">Association, 51st </w:t>
      </w:r>
      <w:proofErr w:type="spellStart"/>
      <w:r w:rsidR="00E72A84" w:rsidRPr="00E72A84">
        <w:rPr>
          <w:rFonts w:cs="Arial"/>
        </w:rPr>
        <w:t>Annual</w:t>
      </w:r>
      <w:proofErr w:type="spellEnd"/>
      <w:r w:rsidR="00E72A84" w:rsidRPr="00E72A84">
        <w:rPr>
          <w:rFonts w:cs="Arial"/>
        </w:rPr>
        <w:t xml:space="preserve"> </w:t>
      </w:r>
      <w:proofErr w:type="spellStart"/>
      <w:r w:rsidR="00E72A84" w:rsidRPr="00E72A84">
        <w:rPr>
          <w:rFonts w:cs="Arial"/>
        </w:rPr>
        <w:t>Meeting</w:t>
      </w:r>
      <w:proofErr w:type="spellEnd"/>
      <w:r w:rsidR="00E72A84" w:rsidRPr="00E72A84">
        <w:rPr>
          <w:rFonts w:cs="Arial"/>
        </w:rPr>
        <w:t xml:space="preserve"> 21. </w:t>
      </w:r>
      <w:r w:rsidR="00670494">
        <w:rPr>
          <w:rFonts w:cs="Arial"/>
        </w:rPr>
        <w:t>–</w:t>
      </w:r>
      <w:r w:rsidR="00E72A84" w:rsidRPr="00E72A84">
        <w:rPr>
          <w:rFonts w:cs="Arial"/>
        </w:rPr>
        <w:t xml:space="preserve"> 24. August 2024</w:t>
      </w:r>
      <w:bookmarkEnd w:id="0"/>
      <w:r w:rsidR="00E72A84" w:rsidRPr="00E72A84">
        <w:rPr>
          <w:rFonts w:cs="Arial"/>
        </w:rPr>
        <w:t>–</w:t>
      </w:r>
      <w:r w:rsidR="00E72A84">
        <w:rPr>
          <w:rFonts w:cs="Arial"/>
          <w:b/>
          <w:bCs/>
        </w:rPr>
        <w:tab/>
      </w:r>
      <w:r w:rsidR="00E72A84" w:rsidRPr="00E72A84">
        <w:rPr>
          <w:rFonts w:cs="Arial"/>
        </w:rPr>
        <w:t>Denná časť</w:t>
      </w:r>
    </w:p>
    <w:p w14:paraId="50FE8A44" w14:textId="77777777" w:rsidR="00E72A84" w:rsidRDefault="00E72A84" w:rsidP="00E72A84">
      <w:pPr>
        <w:tabs>
          <w:tab w:val="left" w:pos="3656"/>
        </w:tabs>
        <w:ind w:left="116"/>
        <w:rPr>
          <w:sz w:val="25"/>
        </w:rPr>
      </w:pPr>
    </w:p>
    <w:p w14:paraId="58493E1A" w14:textId="77777777" w:rsidR="000A6C66" w:rsidRDefault="00E0628E">
      <w:pPr>
        <w:tabs>
          <w:tab w:val="left" w:pos="3540"/>
        </w:tabs>
        <w:ind w:right="114"/>
        <w:jc w:val="right"/>
      </w:pPr>
      <w:r>
        <w:rPr>
          <w:b/>
        </w:rPr>
        <w:t>Postup</w:t>
      </w:r>
      <w:r>
        <w:rPr>
          <w:b/>
          <w:spacing w:val="-4"/>
        </w:rPr>
        <w:t xml:space="preserve"> </w:t>
      </w:r>
      <w:r>
        <w:rPr>
          <w:b/>
        </w:rPr>
        <w:t>verejného</w:t>
      </w:r>
      <w:r>
        <w:rPr>
          <w:b/>
          <w:spacing w:val="-2"/>
        </w:rPr>
        <w:t xml:space="preserve"> </w:t>
      </w:r>
      <w:r>
        <w:rPr>
          <w:b/>
        </w:rPr>
        <w:t>obstarávania:</w:t>
      </w:r>
      <w:r>
        <w:rPr>
          <w:b/>
        </w:rPr>
        <w:tab/>
      </w:r>
      <w:r>
        <w:t>Nadlimitná</w:t>
      </w:r>
      <w:r>
        <w:rPr>
          <w:spacing w:val="30"/>
        </w:rPr>
        <w:t xml:space="preserve"> </w:t>
      </w:r>
      <w:r>
        <w:t>zákazka,</w:t>
      </w:r>
      <w:r>
        <w:rPr>
          <w:spacing w:val="29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66</w:t>
      </w:r>
      <w:r>
        <w:rPr>
          <w:spacing w:val="29"/>
        </w:rPr>
        <w:t xml:space="preserve"> </w:t>
      </w:r>
      <w:r>
        <w:t>zákona</w:t>
      </w:r>
      <w:r>
        <w:rPr>
          <w:spacing w:val="30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verejnom</w:t>
      </w:r>
      <w:r>
        <w:rPr>
          <w:spacing w:val="30"/>
        </w:rPr>
        <w:t xml:space="preserve"> </w:t>
      </w:r>
      <w:r>
        <w:t>obstarávaní</w:t>
      </w:r>
    </w:p>
    <w:p w14:paraId="0CE03FF8" w14:textId="77777777" w:rsidR="000A6C66" w:rsidRDefault="00E0628E">
      <w:pPr>
        <w:pStyle w:val="Zkladntext"/>
        <w:spacing w:before="37"/>
        <w:ind w:right="113"/>
        <w:jc w:val="right"/>
      </w:pPr>
      <w:r>
        <w:t>postupom</w:t>
      </w:r>
      <w:r>
        <w:rPr>
          <w:spacing w:val="29"/>
        </w:rPr>
        <w:t xml:space="preserve"> </w:t>
      </w:r>
      <w:r>
        <w:t>podľa</w:t>
      </w:r>
      <w:r>
        <w:rPr>
          <w:spacing w:val="31"/>
        </w:rPr>
        <w:t xml:space="preserve"> </w:t>
      </w:r>
      <w:r>
        <w:t>§</w:t>
      </w:r>
      <w:r>
        <w:rPr>
          <w:spacing w:val="29"/>
        </w:rPr>
        <w:t xml:space="preserve"> </w:t>
      </w:r>
      <w:r>
        <w:t>66</w:t>
      </w:r>
      <w:r>
        <w:rPr>
          <w:spacing w:val="29"/>
        </w:rPr>
        <w:t xml:space="preserve"> </w:t>
      </w:r>
      <w:r>
        <w:t>ods.</w:t>
      </w:r>
      <w:r>
        <w:rPr>
          <w:spacing w:val="31"/>
        </w:rPr>
        <w:t xml:space="preserve"> </w:t>
      </w:r>
      <w:r>
        <w:t>7</w:t>
      </w:r>
      <w:r>
        <w:rPr>
          <w:spacing w:val="31"/>
        </w:rPr>
        <w:t xml:space="preserve"> </w:t>
      </w:r>
      <w:r>
        <w:t>písm.</w:t>
      </w:r>
      <w:r>
        <w:rPr>
          <w:spacing w:val="31"/>
        </w:rPr>
        <w:t xml:space="preserve"> </w:t>
      </w:r>
      <w:r>
        <w:t>b)</w:t>
      </w:r>
      <w:r>
        <w:rPr>
          <w:spacing w:val="31"/>
        </w:rPr>
        <w:t xml:space="preserve"> </w:t>
      </w:r>
      <w:r>
        <w:t>zákona</w:t>
      </w:r>
      <w:r>
        <w:rPr>
          <w:spacing w:val="3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verejnom</w:t>
      </w:r>
    </w:p>
    <w:p w14:paraId="1202BC60" w14:textId="4DAD85BE" w:rsidR="000A6C66" w:rsidRDefault="00E0628E">
      <w:pPr>
        <w:pStyle w:val="Zkladntext"/>
        <w:spacing w:before="40"/>
        <w:ind w:left="536" w:right="1411"/>
        <w:jc w:val="center"/>
      </w:pPr>
      <w:r>
        <w:t>obstarávaní</w:t>
      </w:r>
    </w:p>
    <w:p w14:paraId="125589F9" w14:textId="77777777" w:rsidR="0021377A" w:rsidRDefault="0021377A">
      <w:pPr>
        <w:pStyle w:val="Nadpis1"/>
        <w:spacing w:before="35"/>
        <w:jc w:val="both"/>
      </w:pPr>
    </w:p>
    <w:p w14:paraId="0E0179F5" w14:textId="114B5701" w:rsidR="000A6C66" w:rsidRDefault="00E0628E">
      <w:pPr>
        <w:pStyle w:val="Nadpis1"/>
        <w:spacing w:before="35"/>
        <w:jc w:val="both"/>
      </w:pPr>
      <w:r>
        <w:t>Označenie v Úradnom vestníku EÚ</w:t>
      </w:r>
    </w:p>
    <w:p w14:paraId="081F273C" w14:textId="05657CE4" w:rsidR="000A6C66" w:rsidRDefault="00E0628E" w:rsidP="00E72A84">
      <w:pPr>
        <w:tabs>
          <w:tab w:val="left" w:pos="3686"/>
        </w:tabs>
        <w:spacing w:before="1" w:line="257" w:lineRule="exact"/>
        <w:ind w:left="116"/>
        <w:jc w:val="both"/>
        <w:rPr>
          <w:sz w:val="25"/>
        </w:rPr>
      </w:pPr>
      <w:r>
        <w:rPr>
          <w:b/>
        </w:rPr>
        <w:t xml:space="preserve">a vo Vestníku VO vedeného ÚVO: </w:t>
      </w:r>
      <w:r w:rsidR="0021377A">
        <w:rPr>
          <w:b/>
        </w:rPr>
        <w:tab/>
      </w:r>
      <w:r w:rsidR="00E72A84" w:rsidRPr="00B544DC">
        <w:rPr>
          <w:rFonts w:eastAsia="Times New Roman"/>
        </w:rPr>
        <w:t>Oznámenie o vyhlásení verejného obstarávania</w:t>
      </w:r>
      <w:r w:rsidR="00A40E51">
        <w:rPr>
          <w:rFonts w:eastAsia="Times New Roman"/>
        </w:rPr>
        <w:t xml:space="preserve"> zverejnené</w:t>
      </w:r>
      <w:r w:rsidR="00E72A84" w:rsidRPr="00B544DC">
        <w:rPr>
          <w:rFonts w:eastAsia="Times New Roman"/>
        </w:rPr>
        <w:t xml:space="preserve"> v Úradnom </w:t>
      </w:r>
      <w:r w:rsidR="00E72A84">
        <w:rPr>
          <w:rFonts w:eastAsia="Times New Roman"/>
        </w:rPr>
        <w:tab/>
      </w:r>
      <w:r w:rsidR="00E72A84" w:rsidRPr="00B544DC">
        <w:rPr>
          <w:rFonts w:eastAsia="Times New Roman"/>
        </w:rPr>
        <w:t xml:space="preserve">vestníku EÚ č. </w:t>
      </w:r>
      <w:r w:rsidR="00E72A84" w:rsidRPr="00B544DC">
        <w:rPr>
          <w:rFonts w:cs="Arial"/>
        </w:rPr>
        <w:t xml:space="preserve">75/2024 </w:t>
      </w:r>
      <w:r w:rsidR="00E72A84" w:rsidRPr="00B544DC">
        <w:rPr>
          <w:rFonts w:cs="Arial"/>
          <w:bCs/>
        </w:rPr>
        <w:t>zo dňa 16.</w:t>
      </w:r>
      <w:r w:rsidR="00670494">
        <w:rPr>
          <w:rFonts w:cs="Arial"/>
          <w:bCs/>
        </w:rPr>
        <w:t xml:space="preserve"> </w:t>
      </w:r>
      <w:r w:rsidR="00E72A84" w:rsidRPr="00B544DC">
        <w:rPr>
          <w:rFonts w:cs="Arial"/>
          <w:bCs/>
        </w:rPr>
        <w:t>04.</w:t>
      </w:r>
      <w:r w:rsidR="00670494">
        <w:rPr>
          <w:rFonts w:cs="Arial"/>
          <w:bCs/>
        </w:rPr>
        <w:t xml:space="preserve"> </w:t>
      </w:r>
      <w:r w:rsidR="00E72A84" w:rsidRPr="00B544DC">
        <w:rPr>
          <w:rFonts w:cs="Arial"/>
          <w:bCs/>
        </w:rPr>
        <w:t>2024 pod číslom</w:t>
      </w:r>
      <w:r w:rsidR="00E72A84" w:rsidRPr="00B544DC">
        <w:rPr>
          <w:rFonts w:eastAsia="Times New Roman"/>
        </w:rPr>
        <w:t xml:space="preserve"> </w:t>
      </w:r>
      <w:r w:rsidR="00E72A84">
        <w:rPr>
          <w:rFonts w:eastAsia="Times New Roman"/>
        </w:rPr>
        <w:tab/>
      </w:r>
      <w:bookmarkStart w:id="1" w:name="_Hlk169076184"/>
      <w:r w:rsidR="00E72A84" w:rsidRPr="00B544DC">
        <w:rPr>
          <w:rFonts w:cs="Arial"/>
        </w:rPr>
        <w:t>224501-</w:t>
      </w:r>
      <w:r w:rsidR="00E72A84" w:rsidRPr="00B544DC">
        <w:rPr>
          <w:rFonts w:eastAsia="Times New Roman"/>
        </w:rPr>
        <w:t xml:space="preserve">2024 </w:t>
      </w:r>
      <w:bookmarkEnd w:id="1"/>
      <w:r w:rsidR="00E72A84" w:rsidRPr="00B544DC">
        <w:rPr>
          <w:rFonts w:cs="Arial"/>
        </w:rPr>
        <w:t xml:space="preserve">a vo Vestníku verejného </w:t>
      </w:r>
      <w:r w:rsidR="00E72A84" w:rsidRPr="00B544DC">
        <w:rPr>
          <w:rFonts w:cs="Arial"/>
          <w:iCs/>
        </w:rPr>
        <w:t>obstarávania</w:t>
      </w:r>
      <w:r w:rsidR="00E72A84" w:rsidRPr="00B544DC">
        <w:rPr>
          <w:rFonts w:cs="Arial"/>
        </w:rPr>
        <w:t xml:space="preserve"> </w:t>
      </w:r>
      <w:r w:rsidR="00E72A84">
        <w:rPr>
          <w:rFonts w:cs="Arial"/>
        </w:rPr>
        <w:tab/>
      </w:r>
      <w:r w:rsidR="00E72A84" w:rsidRPr="00B544DC">
        <w:rPr>
          <w:rFonts w:eastAsia="Times New Roman" w:cs="Arial"/>
          <w:bCs/>
        </w:rPr>
        <w:t>75/2024 zo dňa 17.</w:t>
      </w:r>
      <w:r w:rsidR="00670494">
        <w:rPr>
          <w:rFonts w:eastAsia="Times New Roman" w:cs="Arial"/>
          <w:bCs/>
        </w:rPr>
        <w:t xml:space="preserve"> </w:t>
      </w:r>
      <w:r w:rsidR="00E72A84" w:rsidRPr="00B544DC">
        <w:rPr>
          <w:rFonts w:eastAsia="Times New Roman" w:cs="Arial"/>
          <w:bCs/>
        </w:rPr>
        <w:t>04.</w:t>
      </w:r>
      <w:r w:rsidR="00670494">
        <w:rPr>
          <w:rFonts w:eastAsia="Times New Roman" w:cs="Arial"/>
          <w:bCs/>
        </w:rPr>
        <w:t xml:space="preserve"> </w:t>
      </w:r>
      <w:r w:rsidR="00E72A84" w:rsidRPr="00B544DC">
        <w:rPr>
          <w:rFonts w:eastAsia="Times New Roman" w:cs="Arial"/>
          <w:bCs/>
        </w:rPr>
        <w:t>2024 pod číslom 10503-MSS</w:t>
      </w:r>
      <w:r w:rsidR="00E72A84" w:rsidRPr="00B544DC">
        <w:t>.</w:t>
      </w:r>
    </w:p>
    <w:p w14:paraId="59E39AB2" w14:textId="77777777" w:rsidR="00D3183C" w:rsidRDefault="00D3183C">
      <w:pPr>
        <w:pStyle w:val="Zkladntext"/>
        <w:rPr>
          <w:sz w:val="25"/>
        </w:rPr>
      </w:pPr>
    </w:p>
    <w:p w14:paraId="2E30D169" w14:textId="77777777" w:rsidR="000A6C66" w:rsidRDefault="00E0628E">
      <w:pPr>
        <w:pStyle w:val="Nadpis1"/>
        <w:numPr>
          <w:ilvl w:val="0"/>
          <w:numId w:val="1"/>
        </w:numPr>
        <w:tabs>
          <w:tab w:val="left" w:pos="400"/>
        </w:tabs>
        <w:rPr>
          <w:sz w:val="24"/>
        </w:rPr>
      </w:pPr>
      <w:bookmarkStart w:id="2" w:name="_Hlk169082934"/>
      <w:r>
        <w:t>Identifikačné údaje úspešného</w:t>
      </w:r>
      <w:r>
        <w:rPr>
          <w:spacing w:val="-3"/>
        </w:rPr>
        <w:t xml:space="preserve"> </w:t>
      </w:r>
      <w:r>
        <w:t>uchádzača:</w:t>
      </w:r>
    </w:p>
    <w:p w14:paraId="20BFAC65" w14:textId="77777777" w:rsidR="00C1224D" w:rsidRPr="00C1224D" w:rsidRDefault="00C1224D" w:rsidP="0021377A">
      <w:pPr>
        <w:spacing w:before="80"/>
        <w:ind w:left="426"/>
        <w:rPr>
          <w:b/>
          <w:bCs/>
        </w:rPr>
      </w:pPr>
      <w:r w:rsidRPr="00C1224D">
        <w:rPr>
          <w:b/>
          <w:bCs/>
          <w:lang w:eastAsia="en-US"/>
        </w:rPr>
        <w:t>LEOPARD PRODUCTION, s. r. o</w:t>
      </w:r>
      <w:r w:rsidRPr="00C1224D">
        <w:rPr>
          <w:b/>
          <w:bCs/>
        </w:rPr>
        <w:t xml:space="preserve"> </w:t>
      </w:r>
    </w:p>
    <w:p w14:paraId="6FCA9FBC" w14:textId="77777777" w:rsidR="00C1224D" w:rsidRDefault="00C1224D" w:rsidP="0021377A">
      <w:pPr>
        <w:pStyle w:val="Zkladntext"/>
        <w:spacing w:before="80"/>
        <w:ind w:left="426"/>
        <w:rPr>
          <w:rStyle w:val="ra"/>
        </w:rPr>
      </w:pPr>
      <w:proofErr w:type="spellStart"/>
      <w:r w:rsidRPr="00B544DC">
        <w:rPr>
          <w:rStyle w:val="ra"/>
        </w:rPr>
        <w:t>Sreznevského</w:t>
      </w:r>
      <w:proofErr w:type="spellEnd"/>
      <w:r w:rsidRPr="00B544DC">
        <w:rPr>
          <w:rStyle w:val="ra"/>
        </w:rPr>
        <w:t xml:space="preserve"> 3</w:t>
      </w:r>
    </w:p>
    <w:p w14:paraId="797E516A" w14:textId="6E11EA60" w:rsidR="000A6C66" w:rsidRDefault="0021377A" w:rsidP="0021377A">
      <w:pPr>
        <w:pStyle w:val="Zkladntext"/>
        <w:spacing w:before="80"/>
        <w:ind w:left="426"/>
      </w:pPr>
      <w:r w:rsidRPr="0021377A">
        <w:t>8</w:t>
      </w:r>
      <w:r w:rsidR="00C1224D">
        <w:t>31</w:t>
      </w:r>
      <w:r w:rsidRPr="0021377A">
        <w:t xml:space="preserve"> 0</w:t>
      </w:r>
      <w:r w:rsidR="00C1224D">
        <w:t>3</w:t>
      </w:r>
      <w:r w:rsidRPr="0021377A">
        <w:t xml:space="preserve"> Bratislava, IČO: </w:t>
      </w:r>
      <w:r w:rsidR="00C1224D">
        <w:t>44387407</w:t>
      </w:r>
    </w:p>
    <w:bookmarkEnd w:id="2"/>
    <w:p w14:paraId="7E06443E" w14:textId="77777777" w:rsidR="000A6C66" w:rsidRPr="0021377A" w:rsidRDefault="00E0628E" w:rsidP="004C62EC">
      <w:pPr>
        <w:pStyle w:val="Nadpis1"/>
        <w:numPr>
          <w:ilvl w:val="0"/>
          <w:numId w:val="1"/>
        </w:numPr>
        <w:tabs>
          <w:tab w:val="left" w:pos="400"/>
        </w:tabs>
        <w:spacing w:before="160"/>
        <w:ind w:left="397"/>
      </w:pPr>
      <w:r w:rsidRPr="0021377A">
        <w:t>Informácia o charakteristikách a výhodách prijatej</w:t>
      </w:r>
      <w:r w:rsidRPr="0021377A">
        <w:rPr>
          <w:spacing w:val="-6"/>
        </w:rPr>
        <w:t xml:space="preserve"> </w:t>
      </w:r>
      <w:r w:rsidRPr="0021377A">
        <w:t>ponuky:</w:t>
      </w:r>
    </w:p>
    <w:p w14:paraId="2AC04290" w14:textId="2CC28908" w:rsidR="005D748E" w:rsidRDefault="00E0628E">
      <w:pPr>
        <w:pStyle w:val="Zkladntext"/>
        <w:spacing w:before="157" w:line="276" w:lineRule="auto"/>
        <w:ind w:left="116" w:right="112"/>
        <w:jc w:val="both"/>
        <w:rPr>
          <w:bCs/>
        </w:rPr>
      </w:pPr>
      <w:r>
        <w:t>Verejný</w:t>
      </w:r>
      <w:r>
        <w:rPr>
          <w:spacing w:val="-11"/>
        </w:rPr>
        <w:t xml:space="preserve"> </w:t>
      </w:r>
      <w:r>
        <w:t>obstarávateľ</w:t>
      </w:r>
      <w:r>
        <w:rPr>
          <w:spacing w:val="-10"/>
        </w:rPr>
        <w:t xml:space="preserve"> </w:t>
      </w:r>
      <w:r w:rsidR="00E153DC">
        <w:t>vyhodnotil</w:t>
      </w:r>
      <w:r>
        <w:rPr>
          <w:spacing w:val="-10"/>
        </w:rPr>
        <w:t xml:space="preserve"> </w:t>
      </w:r>
      <w:r w:rsidR="00E153DC">
        <w:rPr>
          <w:spacing w:val="-10"/>
        </w:rPr>
        <w:t>n</w:t>
      </w:r>
      <w:r w:rsidR="00E153DC" w:rsidRPr="00E153DC">
        <w:rPr>
          <w:bCs/>
        </w:rPr>
        <w:t>a základe stanoven</w:t>
      </w:r>
      <w:r w:rsidR="00EF0DD7">
        <w:rPr>
          <w:bCs/>
        </w:rPr>
        <w:t>ých</w:t>
      </w:r>
      <w:r w:rsidR="00E153DC" w:rsidRPr="00E153DC">
        <w:rPr>
          <w:bCs/>
        </w:rPr>
        <w:t xml:space="preserve"> kritéri</w:t>
      </w:r>
      <w:r w:rsidR="00EF0DD7">
        <w:rPr>
          <w:bCs/>
        </w:rPr>
        <w:t xml:space="preserve">í </w:t>
      </w:r>
      <w:r w:rsidR="00E153DC">
        <w:rPr>
          <w:bCs/>
        </w:rPr>
        <w:t>ponuku</w:t>
      </w:r>
      <w:r w:rsidR="00E153DC" w:rsidRPr="00E153DC">
        <w:rPr>
          <w:bCs/>
        </w:rPr>
        <w:t xml:space="preserve"> uchádzača č. </w:t>
      </w:r>
      <w:r w:rsidR="00EF0DD7">
        <w:rPr>
          <w:bCs/>
        </w:rPr>
        <w:t>3</w:t>
      </w:r>
      <w:r w:rsidR="00E153DC" w:rsidRPr="00E153DC">
        <w:rPr>
          <w:bCs/>
        </w:rPr>
        <w:t xml:space="preserve"> ako úspešn</w:t>
      </w:r>
      <w:r w:rsidR="00E153DC">
        <w:rPr>
          <w:bCs/>
        </w:rPr>
        <w:t>ú</w:t>
      </w:r>
      <w:r w:rsidR="00E153DC" w:rsidRPr="00E153DC">
        <w:rPr>
          <w:bCs/>
        </w:rPr>
        <w:t>, nakoľko</w:t>
      </w:r>
      <w:r w:rsidR="00EF0DD7">
        <w:rPr>
          <w:bCs/>
        </w:rPr>
        <w:t xml:space="preserve"> tento uchádzač predložil ponuku s najlepším pomerom ceny (70</w:t>
      </w:r>
      <w:r w:rsidR="00670494">
        <w:rPr>
          <w:bCs/>
        </w:rPr>
        <w:t xml:space="preserve"> </w:t>
      </w:r>
      <w:r w:rsidR="00EF0DD7">
        <w:rPr>
          <w:bCs/>
        </w:rPr>
        <w:t>%) a kvality (30</w:t>
      </w:r>
      <w:r w:rsidR="00670494">
        <w:rPr>
          <w:bCs/>
        </w:rPr>
        <w:t xml:space="preserve"> </w:t>
      </w:r>
      <w:r w:rsidR="00EF0DD7">
        <w:rPr>
          <w:bCs/>
        </w:rPr>
        <w:t xml:space="preserve">%). </w:t>
      </w:r>
      <w:r w:rsidR="005D748E">
        <w:rPr>
          <w:bCs/>
        </w:rPr>
        <w:t xml:space="preserve">V rámci vyhodnotenia kritéria najnižšej ceny sa táto ponuka umiestnila na 4. mieste a pri hodnotení kvality konceptu sa umiestnila na prvom mieste, </w:t>
      </w:r>
      <w:bookmarkStart w:id="3" w:name="_Hlk169079599"/>
      <w:r w:rsidR="005D748E">
        <w:rPr>
          <w:bCs/>
        </w:rPr>
        <w:t xml:space="preserve">nakoľko v rámci </w:t>
      </w:r>
      <w:proofErr w:type="spellStart"/>
      <w:r w:rsidR="005D748E">
        <w:rPr>
          <w:bCs/>
        </w:rPr>
        <w:t>podkritér</w:t>
      </w:r>
      <w:r w:rsidR="00C95849">
        <w:rPr>
          <w:bCs/>
        </w:rPr>
        <w:t>ií</w:t>
      </w:r>
      <w:proofErr w:type="spellEnd"/>
      <w:r w:rsidR="00C95849">
        <w:rPr>
          <w:bCs/>
        </w:rPr>
        <w:t xml:space="preserve"> n</w:t>
      </w:r>
      <w:r w:rsidR="00C95849" w:rsidRPr="00C95849">
        <w:t>ávrh nábytkov, dekorácií a dizajn priestoru</w:t>
      </w:r>
      <w:r w:rsidR="00C95849">
        <w:t xml:space="preserve"> a </w:t>
      </w:r>
      <w:r w:rsidR="005D748E">
        <w:rPr>
          <w:bCs/>
        </w:rPr>
        <w:t xml:space="preserve">návrh vizuálnej </w:t>
      </w:r>
      <w:r w:rsidR="00C95849">
        <w:rPr>
          <w:bCs/>
        </w:rPr>
        <w:t xml:space="preserve">identity išlo o najlepší návrh. Hodnotiaca komisia pri vizuálnej identite vyzdvihla, že </w:t>
      </w:r>
      <w:r w:rsidR="00C95849">
        <w:t>c</w:t>
      </w:r>
      <w:r w:rsidR="00C95849" w:rsidRPr="00B544DC">
        <w:t>elkovo ide o pekný, kvalitne rozpracovaný a  najlepšie poňatý koncept (spojenie cez mincu a banky)</w:t>
      </w:r>
      <w:r w:rsidR="00C95849">
        <w:t>,</w:t>
      </w:r>
      <w:r w:rsidR="00C95849" w:rsidRPr="00B544DC">
        <w:t xml:space="preserve"> s výrazným náskokom oproti ostatným konceptom. Vyznačuje sa zaujímavou </w:t>
      </w:r>
      <w:proofErr w:type="spellStart"/>
      <w:r w:rsidR="00C95849" w:rsidRPr="00B544DC">
        <w:t>vizualitou</w:t>
      </w:r>
      <w:proofErr w:type="spellEnd"/>
      <w:r w:rsidR="00C95849" w:rsidRPr="00B544DC">
        <w:t xml:space="preserve"> a ideou („zrkadlo spoločnosti“). Esteticky je to veľmi kultivované</w:t>
      </w:r>
      <w:r w:rsidR="00C95849">
        <w:t xml:space="preserve"> a n</w:t>
      </w:r>
      <w:r w:rsidR="00C95849" w:rsidRPr="00B544DC">
        <w:t>ávrh obsahuje pekné scénické a priestorové prvky. Koncept je</w:t>
      </w:r>
      <w:r w:rsidR="00C95849">
        <w:t xml:space="preserve"> tak podľa komisie</w:t>
      </w:r>
      <w:r w:rsidR="00C95849" w:rsidRPr="00B544DC">
        <w:t xml:space="preserve"> vysoko relevantný pre účely podujatia.</w:t>
      </w:r>
    </w:p>
    <w:bookmarkEnd w:id="3"/>
    <w:p w14:paraId="5174FEBA" w14:textId="3CF5221A" w:rsidR="000A6C66" w:rsidRDefault="005D748E">
      <w:pPr>
        <w:pStyle w:val="Zkladntext"/>
        <w:spacing w:before="157" w:line="276" w:lineRule="auto"/>
        <w:ind w:left="116" w:right="112"/>
        <w:jc w:val="both"/>
      </w:pPr>
      <w:r>
        <w:rPr>
          <w:bCs/>
        </w:rPr>
        <w:t>P</w:t>
      </w:r>
      <w:r w:rsidR="00EF0DD7">
        <w:rPr>
          <w:bCs/>
        </w:rPr>
        <w:t>onuka</w:t>
      </w:r>
      <w:r>
        <w:rPr>
          <w:bCs/>
        </w:rPr>
        <w:t xml:space="preserve"> úspešného uchádzača</w:t>
      </w:r>
      <w:r w:rsidR="00EF0DD7">
        <w:rPr>
          <w:bCs/>
        </w:rPr>
        <w:t xml:space="preserve"> zároveň splnila </w:t>
      </w:r>
      <w:r w:rsidR="00E153DC" w:rsidRPr="00E153DC">
        <w:rPr>
          <w:bCs/>
        </w:rPr>
        <w:t>všetky požiadavky stanovené verejným obstarávateľom na predmet zákazky a náležitosti ponuky</w:t>
      </w:r>
      <w:r w:rsidR="0010510E" w:rsidRPr="0010510E">
        <w:t xml:space="preserve"> </w:t>
      </w:r>
      <w:r w:rsidR="0010510E">
        <w:t>stanovené verejným obstarávateľom v Oznámení o vyhlásení verejného obstarávania a v súťažných</w:t>
      </w:r>
      <w:r w:rsidR="0010510E">
        <w:rPr>
          <w:spacing w:val="-4"/>
        </w:rPr>
        <w:t xml:space="preserve"> </w:t>
      </w:r>
      <w:r w:rsidR="0010510E">
        <w:t>podkladoch</w:t>
      </w:r>
      <w:r w:rsidR="00E153DC" w:rsidRPr="00E153DC">
        <w:rPr>
          <w:bCs/>
        </w:rPr>
        <w:t>, ktor</w:t>
      </w:r>
      <w:r w:rsidR="0010510E">
        <w:rPr>
          <w:bCs/>
        </w:rPr>
        <w:t>é</w:t>
      </w:r>
      <w:r w:rsidR="00E153DC" w:rsidRPr="00E153DC">
        <w:rPr>
          <w:bCs/>
        </w:rPr>
        <w:t xml:space="preserve"> verejný </w:t>
      </w:r>
      <w:r w:rsidR="00E153DC" w:rsidRPr="00E153DC">
        <w:rPr>
          <w:bCs/>
        </w:rPr>
        <w:lastRenderedPageBreak/>
        <w:t>obstarávateľ vyhodnocoval podľa § 53 zákona o verejnom obstarávaní</w:t>
      </w:r>
      <w:r w:rsidR="00E0628E">
        <w:t>.</w:t>
      </w:r>
      <w:r>
        <w:t xml:space="preserve"> </w:t>
      </w:r>
    </w:p>
    <w:p w14:paraId="5988BEC8" w14:textId="77777777" w:rsidR="000A6C66" w:rsidRDefault="00E0628E" w:rsidP="004C62EC">
      <w:pPr>
        <w:pStyle w:val="Nadpis1"/>
        <w:numPr>
          <w:ilvl w:val="0"/>
          <w:numId w:val="1"/>
        </w:numPr>
        <w:tabs>
          <w:tab w:val="left" w:pos="359"/>
        </w:tabs>
        <w:spacing w:before="160"/>
        <w:ind w:left="357" w:hanging="244"/>
      </w:pPr>
      <w:r>
        <w:t>Výsledok vyhodnotenia splnenia podmienok účasti u úspešného</w:t>
      </w:r>
      <w:r>
        <w:rPr>
          <w:spacing w:val="-14"/>
        </w:rPr>
        <w:t xml:space="preserve"> </w:t>
      </w:r>
      <w:r>
        <w:t>uchádzača:</w:t>
      </w:r>
    </w:p>
    <w:p w14:paraId="14C93692" w14:textId="783DA825" w:rsidR="000A6C66" w:rsidRPr="00D3183C" w:rsidRDefault="00D3183C" w:rsidP="00D3183C">
      <w:pPr>
        <w:pStyle w:val="Zkladntext"/>
        <w:spacing w:before="160" w:line="276" w:lineRule="auto"/>
        <w:ind w:left="116" w:right="112"/>
        <w:jc w:val="both"/>
      </w:pPr>
      <w:bookmarkStart w:id="4" w:name="_Hlk169078673"/>
      <w:r>
        <w:t>Verejný obstarávateľ</w:t>
      </w:r>
      <w:r w:rsidR="00E0628E">
        <w:t xml:space="preserve"> v súlade s bodom </w:t>
      </w:r>
      <w:r w:rsidR="002656F4">
        <w:t>3</w:t>
      </w:r>
      <w:r w:rsidR="00041219">
        <w:t>6</w:t>
      </w:r>
      <w:r w:rsidR="00E0628E">
        <w:t xml:space="preserve"> časti A.1 </w:t>
      </w:r>
      <w:r w:rsidR="00E0628E">
        <w:rPr>
          <w:i/>
        </w:rPr>
        <w:t xml:space="preserve">„POKYNY NA VYPRACOVANIE PONUKY“ </w:t>
      </w:r>
      <w:r w:rsidR="00E0628E">
        <w:t xml:space="preserve">súťažných podkladov posúdil </w:t>
      </w:r>
      <w:r w:rsidRPr="00D3183C">
        <w:t>splnenie podmienok účasti u uchádzača, ktorý sa umiestnil na prvom mieste v poradí na základe kritérií na vyhodnotenie ponúk</w:t>
      </w:r>
      <w:r>
        <w:t xml:space="preserve"> a</w:t>
      </w:r>
      <w:r w:rsidRPr="00D3183C">
        <w:t xml:space="preserve"> v súlade s podmienkami účasti uvedenými v Oznámení o vyhlásení verejného obstarávania a v súťažných podkladoch a </w:t>
      </w:r>
      <w:r>
        <w:t>konštatoval</w:t>
      </w:r>
      <w:r w:rsidR="00E0628E">
        <w:t xml:space="preserve">, že </w:t>
      </w:r>
      <w:r w:rsidR="00E0628E">
        <w:rPr>
          <w:b/>
        </w:rPr>
        <w:t>uchádzač splnil podmienky účasti stanovené verejným obstarávateľom v plnom rozsahu.</w:t>
      </w:r>
    </w:p>
    <w:p w14:paraId="063F4B52" w14:textId="77777777" w:rsidR="000A6C66" w:rsidRDefault="000A6C66">
      <w:pPr>
        <w:pStyle w:val="Zkladntext"/>
        <w:spacing w:before="0"/>
        <w:rPr>
          <w:b/>
          <w:sz w:val="25"/>
        </w:rPr>
      </w:pPr>
    </w:p>
    <w:p w14:paraId="453938D1" w14:textId="6424BF4D" w:rsidR="000A6C66" w:rsidRDefault="00E0628E" w:rsidP="00670494">
      <w:pPr>
        <w:pStyle w:val="Nadpis1"/>
        <w:spacing w:after="160" w:line="276" w:lineRule="auto"/>
      </w:pPr>
      <w:r>
        <w:t>Informácie preukazujúce splnenie podmienok účasti:</w:t>
      </w:r>
    </w:p>
    <w:p w14:paraId="6B580B4B" w14:textId="7853FD23" w:rsidR="000A6C66" w:rsidRDefault="00E0628E" w:rsidP="00670494">
      <w:pPr>
        <w:spacing w:after="160" w:line="276" w:lineRule="auto"/>
        <w:ind w:left="116"/>
        <w:rPr>
          <w:b/>
        </w:rPr>
      </w:pPr>
      <w:r>
        <w:rPr>
          <w:b/>
        </w:rPr>
        <w:t>Podmienky účasti týkajúce sa osobného postavenia:</w:t>
      </w:r>
    </w:p>
    <w:p w14:paraId="2BB61F9A" w14:textId="39350C8E" w:rsidR="000A6C66" w:rsidRDefault="00E0628E" w:rsidP="00670494">
      <w:pPr>
        <w:pStyle w:val="Zkladntext"/>
        <w:spacing w:before="0" w:after="160" w:line="276" w:lineRule="auto"/>
        <w:ind w:left="116" w:right="120"/>
        <w:jc w:val="both"/>
      </w:pPr>
      <w:r>
        <w:t xml:space="preserve">Uchádzač </w:t>
      </w:r>
      <w:r w:rsidR="00D3183C">
        <w:t xml:space="preserve">mal preukázať </w:t>
      </w:r>
      <w:r>
        <w:t>sp</w:t>
      </w:r>
      <w:r w:rsidR="00D3183C">
        <w:t>lnenie</w:t>
      </w:r>
      <w:r>
        <w:t xml:space="preserve"> podmien</w:t>
      </w:r>
      <w:r w:rsidR="00C34C50">
        <w:t>ok</w:t>
      </w:r>
      <w:r>
        <w:t xml:space="preserve"> účasti týkajúce sa osobného postavenia podľa </w:t>
      </w:r>
      <w:r w:rsidR="00D3183C">
        <w:br/>
      </w:r>
      <w:r>
        <w:t>§ 32 ods. 1 zákona o verejnom obstarávaní.</w:t>
      </w:r>
    </w:p>
    <w:p w14:paraId="04E72B65" w14:textId="0C1D1C1D" w:rsidR="000A6C66" w:rsidRDefault="00C34C50" w:rsidP="00670494">
      <w:pPr>
        <w:pStyle w:val="Zkladntext"/>
        <w:spacing w:before="0" w:after="160" w:line="276" w:lineRule="auto"/>
        <w:ind w:left="116" w:right="116"/>
        <w:jc w:val="both"/>
      </w:pPr>
      <w:r>
        <w:t>Úspešný u</w:t>
      </w:r>
      <w:r w:rsidR="00E0628E">
        <w:t xml:space="preserve">chádzač preukázal splnenie podmienok účasti osobného postavenia zápisom do zoznamu hospodárskych subjektov pod registračným číslom </w:t>
      </w:r>
      <w:r>
        <w:rPr>
          <w:bCs/>
        </w:rPr>
        <w:t xml:space="preserve">č. zápisu </w:t>
      </w:r>
      <w:r>
        <w:t xml:space="preserve">2023/8-PO-G3847 </w:t>
      </w:r>
      <w:r w:rsidR="00D3183C" w:rsidRPr="00D3183C">
        <w:t>s platnosťou zápisu do 0</w:t>
      </w:r>
      <w:r>
        <w:t>8</w:t>
      </w:r>
      <w:r w:rsidR="00D3183C" w:rsidRPr="00D3183C">
        <w:t>.</w:t>
      </w:r>
      <w:r w:rsidR="00670494">
        <w:t xml:space="preserve"> </w:t>
      </w:r>
      <w:r w:rsidR="00D3183C" w:rsidRPr="00D3183C">
        <w:t>0</w:t>
      </w:r>
      <w:r>
        <w:t>8</w:t>
      </w:r>
      <w:r w:rsidR="00D3183C" w:rsidRPr="00D3183C">
        <w:t>.</w:t>
      </w:r>
      <w:r w:rsidR="00670494">
        <w:t xml:space="preserve"> </w:t>
      </w:r>
      <w:r w:rsidR="00D3183C" w:rsidRPr="00D3183C">
        <w:t>202</w:t>
      </w:r>
      <w:r>
        <w:t>6</w:t>
      </w:r>
      <w:r w:rsidR="00E0628E">
        <w:t>.</w:t>
      </w:r>
    </w:p>
    <w:p w14:paraId="2D877790" w14:textId="77777777" w:rsidR="000A6C66" w:rsidRDefault="00E0628E" w:rsidP="00670494">
      <w:pPr>
        <w:pStyle w:val="Nadpis1"/>
        <w:spacing w:after="160" w:line="276" w:lineRule="auto"/>
        <w:ind w:left="113"/>
      </w:pPr>
      <w:r>
        <w:t>Podmienky účasti týkajúce sa finančného a ekonomického postavenia:</w:t>
      </w:r>
    </w:p>
    <w:p w14:paraId="1E176F3B" w14:textId="2E448935" w:rsidR="000A6C66" w:rsidRDefault="00C34C50" w:rsidP="00670494">
      <w:pPr>
        <w:pStyle w:val="Zkladntext"/>
        <w:spacing w:before="0" w:after="160" w:line="276" w:lineRule="auto"/>
        <w:ind w:left="142"/>
        <w:jc w:val="both"/>
        <w:rPr>
          <w:szCs w:val="18"/>
        </w:rPr>
      </w:pPr>
      <w:r w:rsidRPr="00C34C50">
        <w:rPr>
          <w:szCs w:val="18"/>
        </w:rPr>
        <w:t xml:space="preserve">Verejný </w:t>
      </w:r>
      <w:r>
        <w:rPr>
          <w:szCs w:val="18"/>
        </w:rPr>
        <w:t xml:space="preserve">obstarávateľ požadoval preukázanie minimálnej výšky </w:t>
      </w:r>
      <w:r w:rsidRPr="00C34C50">
        <w:rPr>
          <w:szCs w:val="18"/>
        </w:rPr>
        <w:t>obratu v oblasti predmetu zákazky</w:t>
      </w:r>
      <w:r>
        <w:rPr>
          <w:szCs w:val="18"/>
        </w:rPr>
        <w:t xml:space="preserve"> podľa bodu 35 súťažných podkladov. </w:t>
      </w:r>
    </w:p>
    <w:p w14:paraId="65FA9F13" w14:textId="0CDEB34B" w:rsidR="00C34C50" w:rsidRDefault="00C34C50" w:rsidP="00670494">
      <w:pPr>
        <w:pStyle w:val="Zkladntext"/>
        <w:spacing w:before="0" w:after="160" w:line="276" w:lineRule="auto"/>
        <w:ind w:left="142"/>
        <w:jc w:val="both"/>
        <w:rPr>
          <w:szCs w:val="18"/>
        </w:rPr>
      </w:pPr>
      <w:r>
        <w:rPr>
          <w:szCs w:val="18"/>
        </w:rPr>
        <w:t xml:space="preserve">Úspešný uchádzač prostredníctvom účtovnej závierky a predložených referenčných zákaziek preukázal súhrnný obrat presahujúci 600 000 eur. </w:t>
      </w:r>
    </w:p>
    <w:p w14:paraId="0412E9D4" w14:textId="77777777" w:rsidR="000A6C66" w:rsidRDefault="00E0628E" w:rsidP="00670494">
      <w:pPr>
        <w:pStyle w:val="Nadpis1"/>
        <w:spacing w:after="160" w:line="276" w:lineRule="auto"/>
      </w:pPr>
      <w:r>
        <w:t>Podmienky účasti týkajúce sa technickej alebo odbornej spôsobilosti:</w:t>
      </w:r>
    </w:p>
    <w:p w14:paraId="496CA4B6" w14:textId="33C2BF42" w:rsidR="00D3183C" w:rsidRPr="00D3183C" w:rsidRDefault="00D3183C" w:rsidP="00670494">
      <w:pPr>
        <w:pStyle w:val="Zkladntext"/>
        <w:spacing w:before="0" w:after="160" w:line="276" w:lineRule="auto"/>
        <w:ind w:left="116"/>
        <w:jc w:val="both"/>
      </w:pPr>
      <w:r w:rsidRPr="00D3183C">
        <w:t>Verejný obstarávateľ požadoval splnenie podmienok účasti týkajúcich sa technickej alebo odbornej spôsobilosti podľa § 34 ods. 1</w:t>
      </w:r>
      <w:r w:rsidR="00C34C50">
        <w:t xml:space="preserve"> písm. a)</w:t>
      </w:r>
      <w:r w:rsidRPr="00D3183C">
        <w:t xml:space="preserve"> zákona o verejnom obstarávaní a podľa bodu 3</w:t>
      </w:r>
      <w:r w:rsidR="00C34C50">
        <w:t>6</w:t>
      </w:r>
      <w:r w:rsidRPr="00D3183C">
        <w:t>.1</w:t>
      </w:r>
      <w:r w:rsidR="006A6EF5">
        <w:t>.1</w:t>
      </w:r>
      <w:r w:rsidRPr="00D3183C">
        <w:t xml:space="preserve"> súťažných podkladov.</w:t>
      </w:r>
    </w:p>
    <w:p w14:paraId="67F7C51D" w14:textId="5774EE45" w:rsidR="00D3183C" w:rsidRDefault="00C34C50" w:rsidP="00670494">
      <w:pPr>
        <w:pStyle w:val="Zkladntext"/>
        <w:spacing w:before="0" w:after="160" w:line="276" w:lineRule="auto"/>
        <w:ind w:left="116"/>
        <w:jc w:val="both"/>
        <w:rPr>
          <w:bCs/>
        </w:rPr>
      </w:pPr>
      <w:r>
        <w:t xml:space="preserve">Úspešný uchádzač predložil </w:t>
      </w:r>
      <w:r>
        <w:rPr>
          <w:bCs/>
        </w:rPr>
        <w:t>zoznam obsahujúci organizáciu podujatí pre piatich odberateľov,</w:t>
      </w:r>
      <w:r w:rsidRPr="00C34C50">
        <w:rPr>
          <w:bCs/>
        </w:rPr>
        <w:t xml:space="preserve"> </w:t>
      </w:r>
      <w:r>
        <w:rPr>
          <w:bCs/>
        </w:rPr>
        <w:t>pričom niektoré podujatia sa konali počas viacerých rokov požadovaného referenčného obdobia.</w:t>
      </w:r>
      <w:r w:rsidR="00227D0B">
        <w:rPr>
          <w:bCs/>
        </w:rPr>
        <w:t xml:space="preserve"> </w:t>
      </w:r>
      <w:r w:rsidR="00B91919">
        <w:rPr>
          <w:bCs/>
        </w:rPr>
        <w:t>K</w:t>
      </w:r>
      <w:r w:rsidR="00227D0B">
        <w:rPr>
          <w:bCs/>
        </w:rPr>
        <w:t xml:space="preserve">aždé z podujatí bolo rovnaké alebo podobné ako predmet zákazky a boli organizované pre viac ako 300 účastníkov. Obsahom referencií pritom bolo aj uvedenie, že podujatia zahŕňali aj zabezpečenie nábytku, </w:t>
      </w:r>
      <w:r w:rsidR="006A6EF5">
        <w:rPr>
          <w:bCs/>
        </w:rPr>
        <w:t xml:space="preserve">osvetľovacej a ozvučovacej </w:t>
      </w:r>
      <w:r w:rsidR="00227D0B">
        <w:rPr>
          <w:bCs/>
        </w:rPr>
        <w:t>techniky a</w:t>
      </w:r>
      <w:r w:rsidR="006A6EF5">
        <w:rPr>
          <w:bCs/>
        </w:rPr>
        <w:t> cateringu v rôznych kombináciách (niektoré aj kumulatívne).</w:t>
      </w:r>
    </w:p>
    <w:p w14:paraId="2DF2EB6D" w14:textId="3BE5B9A3" w:rsidR="006A6EF5" w:rsidRDefault="006A6EF5" w:rsidP="00670494">
      <w:pPr>
        <w:pStyle w:val="Zkladntext"/>
        <w:spacing w:before="0" w:after="160" w:line="276" w:lineRule="auto"/>
        <w:ind w:left="116"/>
        <w:jc w:val="both"/>
        <w:rPr>
          <w:bCs/>
        </w:rPr>
      </w:pPr>
      <w:r>
        <w:rPr>
          <w:bCs/>
        </w:rPr>
        <w:t xml:space="preserve">Podmienku účasti podľa § 34 ods. 1 písm. g) ZVO podľa bodu </w:t>
      </w:r>
      <w:r w:rsidRPr="00D3183C">
        <w:t>3</w:t>
      </w:r>
      <w:r>
        <w:t>6</w:t>
      </w:r>
      <w:r w:rsidRPr="00D3183C">
        <w:t>.</w:t>
      </w:r>
      <w:r>
        <w:t>1.2</w:t>
      </w:r>
      <w:r w:rsidRPr="00D3183C">
        <w:t xml:space="preserve"> súťažných podkladov</w:t>
      </w:r>
      <w:r>
        <w:t xml:space="preserve"> </w:t>
      </w:r>
      <w:r>
        <w:rPr>
          <w:bCs/>
        </w:rPr>
        <w:t>uchádzač preukázal prostredníctvom svojej internej kapacity p. Lukáša Kočiša.</w:t>
      </w:r>
    </w:p>
    <w:p w14:paraId="4E7294B7" w14:textId="7C4B1003" w:rsidR="006A6EF5" w:rsidRDefault="006A6EF5" w:rsidP="00670494">
      <w:pPr>
        <w:pStyle w:val="Zkladntext"/>
        <w:spacing w:before="0" w:after="160" w:line="276" w:lineRule="auto"/>
        <w:ind w:left="116"/>
        <w:jc w:val="both"/>
        <w:rPr>
          <w:bCs/>
        </w:rPr>
      </w:pPr>
      <w:r>
        <w:rPr>
          <w:bCs/>
        </w:rPr>
        <w:t xml:space="preserve">Na účely podmienky účasti podľa § 34 ods. 1 písm. l) ZVO podľa bodu  </w:t>
      </w:r>
      <w:r w:rsidRPr="00D3183C">
        <w:t>3</w:t>
      </w:r>
      <w:r>
        <w:t>6</w:t>
      </w:r>
      <w:r w:rsidRPr="00D3183C">
        <w:t>.</w:t>
      </w:r>
      <w:r>
        <w:t>1.3</w:t>
      </w:r>
      <w:r w:rsidRPr="00D3183C">
        <w:t xml:space="preserve"> súťažných podkladov</w:t>
      </w:r>
      <w:r>
        <w:t xml:space="preserve"> </w:t>
      </w:r>
      <w:r>
        <w:rPr>
          <w:bCs/>
        </w:rPr>
        <w:t>uchádzač uviedol, že</w:t>
      </w:r>
      <w:r w:rsidR="00353FCE">
        <w:rPr>
          <w:bCs/>
        </w:rPr>
        <w:t>:</w:t>
      </w:r>
    </w:p>
    <w:p w14:paraId="3572B8E3" w14:textId="2645CB60" w:rsidR="00353FCE" w:rsidRDefault="00353FCE" w:rsidP="00670494">
      <w:pPr>
        <w:pStyle w:val="Zkladntext"/>
        <w:numPr>
          <w:ilvl w:val="0"/>
          <w:numId w:val="2"/>
        </w:numPr>
        <w:spacing w:before="0" w:after="160" w:line="276" w:lineRule="auto"/>
        <w:ind w:left="641" w:right="232" w:hanging="357"/>
        <w:contextualSpacing/>
        <w:jc w:val="both"/>
        <w:rPr>
          <w:bCs/>
        </w:rPr>
      </w:pPr>
      <w:r>
        <w:rPr>
          <w:bCs/>
        </w:rPr>
        <w:t xml:space="preserve">catering zabezpečí prostredníctvom spoločnosti </w:t>
      </w:r>
      <w:r w:rsidRPr="00C1627C">
        <w:rPr>
          <w:bCs/>
        </w:rPr>
        <w:t>SHARKAM B&amp;B CATERING s.r.o.</w:t>
      </w:r>
      <w:r>
        <w:rPr>
          <w:bCs/>
        </w:rPr>
        <w:t xml:space="preserve">, </w:t>
      </w:r>
      <w:proofErr w:type="spellStart"/>
      <w:r>
        <w:rPr>
          <w:bCs/>
        </w:rPr>
        <w:t>Krokusová</w:t>
      </w:r>
      <w:proofErr w:type="spellEnd"/>
      <w:r>
        <w:rPr>
          <w:bCs/>
        </w:rPr>
        <w:t xml:space="preserve"> 20243/3, 821 07 Bratislava,</w:t>
      </w:r>
    </w:p>
    <w:p w14:paraId="0D2B9E2E" w14:textId="293949B3" w:rsidR="00353FCE" w:rsidRDefault="00353FCE" w:rsidP="00670494">
      <w:pPr>
        <w:pStyle w:val="Zkladntext"/>
        <w:numPr>
          <w:ilvl w:val="0"/>
          <w:numId w:val="2"/>
        </w:numPr>
        <w:spacing w:before="0" w:after="160" w:line="276" w:lineRule="auto"/>
        <w:ind w:left="641" w:right="232" w:hanging="357"/>
        <w:contextualSpacing/>
        <w:jc w:val="both"/>
        <w:rPr>
          <w:bCs/>
        </w:rPr>
      </w:pPr>
      <w:r>
        <w:rPr>
          <w:bCs/>
        </w:rPr>
        <w:t xml:space="preserve">ozvučovaciu a osvetľovaciu techniku zabezpečí prostredníctvom spoločnosti </w:t>
      </w:r>
      <w:proofErr w:type="spellStart"/>
      <w:r>
        <w:rPr>
          <w:bCs/>
        </w:rPr>
        <w:t>TLpro</w:t>
      </w:r>
      <w:proofErr w:type="spellEnd"/>
      <w:r>
        <w:rPr>
          <w:bCs/>
        </w:rPr>
        <w:t xml:space="preserve"> s.r.o, Janka Kráľa 43, 936 26 Starý Tekov a Martin </w:t>
      </w:r>
      <w:proofErr w:type="spellStart"/>
      <w:r>
        <w:rPr>
          <w:bCs/>
        </w:rPr>
        <w:t>Kupčo</w:t>
      </w:r>
      <w:proofErr w:type="spellEnd"/>
      <w:r>
        <w:rPr>
          <w:bCs/>
        </w:rPr>
        <w:t xml:space="preserve"> – S</w:t>
      </w:r>
      <w:r w:rsidR="00B91919">
        <w:rPr>
          <w:bCs/>
        </w:rPr>
        <w:t>H</w:t>
      </w:r>
      <w:r>
        <w:rPr>
          <w:bCs/>
        </w:rPr>
        <w:t>O</w:t>
      </w:r>
      <w:r w:rsidR="00B91919">
        <w:rPr>
          <w:bCs/>
        </w:rPr>
        <w:t>W</w:t>
      </w:r>
      <w:r>
        <w:rPr>
          <w:bCs/>
        </w:rPr>
        <w:t xml:space="preserve">SERVICE, </w:t>
      </w:r>
      <w:proofErr w:type="spellStart"/>
      <w:r>
        <w:rPr>
          <w:bCs/>
        </w:rPr>
        <w:t>Krmanova</w:t>
      </w:r>
      <w:proofErr w:type="spellEnd"/>
      <w:r>
        <w:rPr>
          <w:bCs/>
        </w:rPr>
        <w:t xml:space="preserve"> 1812/5, 811 03 Bratislava,</w:t>
      </w:r>
    </w:p>
    <w:p w14:paraId="12F01315" w14:textId="0267C94B" w:rsidR="00353FCE" w:rsidRDefault="00353FCE" w:rsidP="00670494">
      <w:pPr>
        <w:pStyle w:val="Zkladntext"/>
        <w:numPr>
          <w:ilvl w:val="0"/>
          <w:numId w:val="2"/>
        </w:numPr>
        <w:spacing w:before="0" w:after="160" w:line="276" w:lineRule="auto"/>
        <w:ind w:left="641" w:right="232" w:hanging="357"/>
        <w:contextualSpacing/>
        <w:jc w:val="both"/>
        <w:rPr>
          <w:bCs/>
        </w:rPr>
      </w:pPr>
      <w:r>
        <w:rPr>
          <w:bCs/>
        </w:rPr>
        <w:t xml:space="preserve">nábytky zabezpečí prostredníctvom spoločnosti </w:t>
      </w:r>
      <w:proofErr w:type="spellStart"/>
      <w:r>
        <w:rPr>
          <w:bCs/>
        </w:rPr>
        <w:t>mima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production</w:t>
      </w:r>
      <w:proofErr w:type="spellEnd"/>
      <w:r>
        <w:rPr>
          <w:bCs/>
        </w:rPr>
        <w:t xml:space="preserve">, s.r.o., </w:t>
      </w:r>
      <w:proofErr w:type="spellStart"/>
      <w:r>
        <w:rPr>
          <w:bCs/>
        </w:rPr>
        <w:t>Martničekova</w:t>
      </w:r>
      <w:proofErr w:type="spellEnd"/>
      <w:r>
        <w:rPr>
          <w:bCs/>
        </w:rPr>
        <w:t>, 821 09 Bratislava.</w:t>
      </w:r>
    </w:p>
    <w:p w14:paraId="120C926F" w14:textId="3825621A" w:rsidR="000A6C66" w:rsidRDefault="00D3183C" w:rsidP="00670494">
      <w:pPr>
        <w:pStyle w:val="Zkladntext"/>
        <w:spacing w:before="0" w:after="160" w:line="276" w:lineRule="auto"/>
        <w:ind w:left="116"/>
        <w:jc w:val="both"/>
        <w:rPr>
          <w:b/>
          <w:bCs/>
        </w:rPr>
      </w:pPr>
      <w:r w:rsidRPr="00D3183C">
        <w:t xml:space="preserve">Na základe vyššie uvedených skutočností </w:t>
      </w:r>
      <w:r>
        <w:t>verejný obstarávateľ</w:t>
      </w:r>
      <w:r w:rsidRPr="00D3183C">
        <w:t xml:space="preserve"> vyhodnotil</w:t>
      </w:r>
      <w:r>
        <w:t>,</w:t>
      </w:r>
      <w:r w:rsidRPr="00D3183C">
        <w:t xml:space="preserve"> že </w:t>
      </w:r>
      <w:r w:rsidRPr="00D3183C">
        <w:rPr>
          <w:b/>
          <w:bCs/>
        </w:rPr>
        <w:t xml:space="preserve">uchádzač splnil </w:t>
      </w:r>
      <w:r w:rsidR="005D748E">
        <w:rPr>
          <w:b/>
          <w:bCs/>
        </w:rPr>
        <w:t xml:space="preserve">stanovené </w:t>
      </w:r>
      <w:r w:rsidRPr="00D3183C">
        <w:rPr>
          <w:b/>
          <w:bCs/>
        </w:rPr>
        <w:t>podmienky účasti, týkajúce sa technickej alebo odbornej spôsobilosti podľa § 34</w:t>
      </w:r>
      <w:r w:rsidR="005D748E">
        <w:rPr>
          <w:b/>
          <w:bCs/>
        </w:rPr>
        <w:t xml:space="preserve"> </w:t>
      </w:r>
      <w:r w:rsidR="005D748E">
        <w:rPr>
          <w:b/>
          <w:bCs/>
        </w:rPr>
        <w:lastRenderedPageBreak/>
        <w:t>zákona o verejnom obstarávaní.</w:t>
      </w:r>
    </w:p>
    <w:bookmarkEnd w:id="4"/>
    <w:p w14:paraId="67D8A5D0" w14:textId="1B90236E" w:rsidR="000A6C66" w:rsidRDefault="00E0628E" w:rsidP="00670494">
      <w:pPr>
        <w:pStyle w:val="Nadpis1"/>
        <w:spacing w:after="160" w:line="276" w:lineRule="auto"/>
        <w:jc w:val="both"/>
        <w:rPr>
          <w:b w:val="0"/>
        </w:rPr>
      </w:pPr>
      <w:r>
        <w:t xml:space="preserve">Identifikácia osoby poskytujúcej kapacity podľa </w:t>
      </w:r>
      <w:r w:rsidR="005D748E">
        <w:t xml:space="preserve">§ 33 ods. 2 a </w:t>
      </w:r>
      <w:r>
        <w:t>§ 34 ods. 3 zákona o</w:t>
      </w:r>
      <w:r w:rsidR="005D748E">
        <w:t xml:space="preserve"> </w:t>
      </w:r>
      <w:r>
        <w:t>verejnom obstarávaní:</w:t>
      </w:r>
    </w:p>
    <w:p w14:paraId="7D5E0708" w14:textId="77777777" w:rsidR="000A6C66" w:rsidRDefault="00E0628E" w:rsidP="00670494">
      <w:pPr>
        <w:pStyle w:val="Zkladntext"/>
        <w:spacing w:before="0" w:after="160" w:line="276" w:lineRule="auto"/>
        <w:ind w:left="116"/>
      </w:pPr>
      <w:r>
        <w:t>Neaplikuje sa.</w:t>
      </w:r>
    </w:p>
    <w:p w14:paraId="1E6DE279" w14:textId="77777777" w:rsidR="000A6C66" w:rsidRDefault="00E0628E" w:rsidP="00670494">
      <w:pPr>
        <w:pStyle w:val="Nadpis1"/>
        <w:numPr>
          <w:ilvl w:val="0"/>
          <w:numId w:val="1"/>
        </w:numPr>
        <w:tabs>
          <w:tab w:val="left" w:pos="388"/>
        </w:tabs>
        <w:spacing w:after="160" w:line="276" w:lineRule="auto"/>
        <w:ind w:left="387" w:hanging="272"/>
      </w:pPr>
      <w:r>
        <w:t>Lehota, v ktorej môže byť doručená</w:t>
      </w:r>
      <w:r>
        <w:rPr>
          <w:spacing w:val="-9"/>
        </w:rPr>
        <w:t xml:space="preserve"> </w:t>
      </w:r>
      <w:r>
        <w:t>námietka:</w:t>
      </w:r>
    </w:p>
    <w:p w14:paraId="7896109F" w14:textId="77777777" w:rsidR="000A6C66" w:rsidRDefault="00E0628E" w:rsidP="00670494">
      <w:pPr>
        <w:pStyle w:val="Zkladntext"/>
        <w:spacing w:before="0" w:after="160" w:line="276" w:lineRule="auto"/>
        <w:ind w:left="116"/>
      </w:pPr>
      <w:r>
        <w:t>V súlade s § 170 zákona o verejnom obstarávaní.</w:t>
      </w:r>
    </w:p>
    <w:p w14:paraId="15B84A78" w14:textId="52D47C33" w:rsidR="000A6C66" w:rsidRDefault="00EF0DD7" w:rsidP="00670494">
      <w:pPr>
        <w:pStyle w:val="Zkladntext"/>
        <w:spacing w:before="0" w:after="160" w:line="276" w:lineRule="auto"/>
        <w:rPr>
          <w:b/>
          <w:bCs/>
        </w:rPr>
      </w:pPr>
      <w:r>
        <w:rPr>
          <w:b/>
        </w:rPr>
        <w:t>Ponukové ceny</w:t>
      </w:r>
      <w:r w:rsidR="00E0628E" w:rsidRPr="00D3183C">
        <w:rPr>
          <w:b/>
          <w:bCs/>
        </w:rPr>
        <w:t>:</w:t>
      </w:r>
    </w:p>
    <w:tbl>
      <w:tblPr>
        <w:tblStyle w:val="TableNormal1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215"/>
        <w:gridCol w:w="2864"/>
      </w:tblGrid>
      <w:tr w:rsidR="00EF0DD7" w14:paraId="7B0B0BB8" w14:textId="77777777" w:rsidTr="002656F4">
        <w:trPr>
          <w:trHeight w:val="634"/>
          <w:jc w:val="center"/>
        </w:trPr>
        <w:tc>
          <w:tcPr>
            <w:tcW w:w="988" w:type="dxa"/>
            <w:shd w:val="clear" w:color="auto" w:fill="DFDFDF"/>
            <w:vAlign w:val="center"/>
          </w:tcPr>
          <w:p w14:paraId="2ED60390" w14:textId="77777777" w:rsidR="00EF0DD7" w:rsidRPr="00B544DC" w:rsidRDefault="00EF0DD7" w:rsidP="00963929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bookmarkStart w:id="5" w:name="_Hlk169078552"/>
            <w:r w:rsidRPr="00B544DC">
              <w:rPr>
                <w:b/>
                <w:lang w:eastAsia="en-US"/>
              </w:rPr>
              <w:t>Ponuka</w:t>
            </w:r>
            <w:r>
              <w:rPr>
                <w:b/>
                <w:lang w:eastAsia="en-US"/>
              </w:rPr>
              <w:t xml:space="preserve"> </w:t>
            </w:r>
            <w:r w:rsidRPr="00B544DC">
              <w:rPr>
                <w:b/>
                <w:lang w:eastAsia="en-US"/>
              </w:rPr>
              <w:t>č.</w:t>
            </w:r>
          </w:p>
        </w:tc>
        <w:tc>
          <w:tcPr>
            <w:tcW w:w="5215" w:type="dxa"/>
            <w:shd w:val="clear" w:color="auto" w:fill="DFDFDF"/>
            <w:vAlign w:val="center"/>
          </w:tcPr>
          <w:p w14:paraId="63537EA2" w14:textId="77777777" w:rsidR="00EF0DD7" w:rsidRPr="00B544DC" w:rsidRDefault="00EF0DD7" w:rsidP="00963929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Uchádzač</w:t>
            </w:r>
          </w:p>
        </w:tc>
        <w:tc>
          <w:tcPr>
            <w:tcW w:w="2864" w:type="dxa"/>
            <w:shd w:val="clear" w:color="auto" w:fill="DFDFDF"/>
          </w:tcPr>
          <w:p w14:paraId="152DE618" w14:textId="77777777" w:rsidR="00EF0DD7" w:rsidRPr="00B544DC" w:rsidRDefault="00EF0DD7" w:rsidP="00963929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Ponuková cena</w:t>
            </w:r>
          </w:p>
        </w:tc>
      </w:tr>
      <w:tr w:rsidR="00EF0DD7" w:rsidRPr="008A09CC" w14:paraId="08309B4E" w14:textId="77777777" w:rsidTr="002656F4">
        <w:trPr>
          <w:trHeight w:val="709"/>
          <w:jc w:val="center"/>
        </w:trPr>
        <w:tc>
          <w:tcPr>
            <w:tcW w:w="988" w:type="dxa"/>
            <w:vAlign w:val="center"/>
          </w:tcPr>
          <w:p w14:paraId="71CD836F" w14:textId="77777777" w:rsidR="00EF0DD7" w:rsidRPr="00B544DC" w:rsidRDefault="00EF0DD7" w:rsidP="00963929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1.</w:t>
            </w:r>
          </w:p>
        </w:tc>
        <w:tc>
          <w:tcPr>
            <w:tcW w:w="5215" w:type="dxa"/>
            <w:vAlign w:val="center"/>
          </w:tcPr>
          <w:p w14:paraId="00AD29E1" w14:textId="77777777" w:rsidR="00EF0DD7" w:rsidRPr="001B6B8E" w:rsidRDefault="00EF0DD7" w:rsidP="00963929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1B6B8E">
              <w:rPr>
                <w:b/>
                <w:bCs/>
                <w:lang w:eastAsia="en-US"/>
              </w:rPr>
              <w:t>CREATIVE PRO a.s.,</w:t>
            </w:r>
          </w:p>
          <w:p w14:paraId="040AB669" w14:textId="77777777" w:rsidR="001B6B8E" w:rsidRPr="001B6B8E" w:rsidRDefault="001B6B8E" w:rsidP="001B6B8E">
            <w:pPr>
              <w:spacing w:before="37"/>
              <w:ind w:left="108"/>
              <w:rPr>
                <w:bCs/>
                <w:lang w:eastAsia="en-US"/>
              </w:rPr>
            </w:pPr>
            <w:r w:rsidRPr="001B6B8E">
              <w:rPr>
                <w:bCs/>
                <w:lang w:eastAsia="en-US"/>
              </w:rPr>
              <w:t>Matúšova 56/A, 811 04 Bratislava – mestská časť Staré mesto</w:t>
            </w:r>
          </w:p>
          <w:p w14:paraId="7438213F" w14:textId="2A049809" w:rsidR="001B6B8E" w:rsidRPr="00124D70" w:rsidRDefault="001B6B8E" w:rsidP="001B6B8E">
            <w:pPr>
              <w:spacing w:before="37"/>
              <w:ind w:left="108"/>
              <w:rPr>
                <w:lang w:eastAsia="en-US"/>
              </w:rPr>
            </w:pPr>
            <w:r w:rsidRPr="001B6B8E">
              <w:rPr>
                <w:bCs/>
                <w:lang w:eastAsia="en-US"/>
              </w:rPr>
              <w:t>IČO: 35968702</w:t>
            </w:r>
          </w:p>
        </w:tc>
        <w:tc>
          <w:tcPr>
            <w:tcW w:w="2864" w:type="dxa"/>
            <w:vAlign w:val="center"/>
          </w:tcPr>
          <w:p w14:paraId="28606BB1" w14:textId="77777777" w:rsidR="00EF0DD7" w:rsidRPr="00B544DC" w:rsidRDefault="00EF0DD7" w:rsidP="00963929">
            <w:pPr>
              <w:spacing w:before="37"/>
              <w:ind w:left="108"/>
              <w:jc w:val="center"/>
            </w:pPr>
            <w:r w:rsidRPr="00097D00">
              <w:rPr>
                <w:rFonts w:cs="Arial"/>
              </w:rPr>
              <w:t>274 130,64</w:t>
            </w:r>
          </w:p>
        </w:tc>
      </w:tr>
      <w:tr w:rsidR="00EF0DD7" w:rsidRPr="008A09CC" w14:paraId="3F7170E8" w14:textId="77777777" w:rsidTr="002656F4">
        <w:trPr>
          <w:trHeight w:val="592"/>
          <w:jc w:val="center"/>
        </w:trPr>
        <w:tc>
          <w:tcPr>
            <w:tcW w:w="988" w:type="dxa"/>
            <w:vAlign w:val="center"/>
          </w:tcPr>
          <w:p w14:paraId="4BC2BD73" w14:textId="77777777" w:rsidR="00EF0DD7" w:rsidRPr="008A09CC" w:rsidRDefault="00EF0DD7" w:rsidP="00963929">
            <w:pPr>
              <w:spacing w:before="167"/>
              <w:ind w:left="198" w:right="191"/>
              <w:jc w:val="center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>2.</w:t>
            </w:r>
          </w:p>
        </w:tc>
        <w:tc>
          <w:tcPr>
            <w:tcW w:w="5215" w:type="dxa"/>
            <w:vAlign w:val="center"/>
          </w:tcPr>
          <w:p w14:paraId="5873427C" w14:textId="77777777" w:rsidR="001B6B8E" w:rsidRDefault="00EF0DD7" w:rsidP="001B6B8E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>VIVA EVENTS, s.r.o.</w:t>
            </w:r>
          </w:p>
          <w:p w14:paraId="75B4DF4D" w14:textId="77777777" w:rsidR="001B6B8E" w:rsidRDefault="001B6B8E" w:rsidP="001B6B8E">
            <w:pPr>
              <w:spacing w:before="37"/>
              <w:ind w:left="108"/>
              <w:rPr>
                <w:bCs/>
              </w:rPr>
            </w:pPr>
            <w:r w:rsidRPr="00243FEC">
              <w:rPr>
                <w:bCs/>
              </w:rPr>
              <w:t>Kľukatá 41, 821 05 Bratislava - mestská časť Ružinov</w:t>
            </w:r>
          </w:p>
          <w:p w14:paraId="08EAD4E0" w14:textId="56898B61" w:rsidR="001B6B8E" w:rsidRPr="008A09CC" w:rsidRDefault="001B6B8E" w:rsidP="001B6B8E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243FEC">
              <w:rPr>
                <w:bCs/>
              </w:rPr>
              <w:t>IČO: 51154765</w:t>
            </w:r>
          </w:p>
        </w:tc>
        <w:tc>
          <w:tcPr>
            <w:tcW w:w="2864" w:type="dxa"/>
            <w:vAlign w:val="center"/>
          </w:tcPr>
          <w:p w14:paraId="33F53EA9" w14:textId="77777777" w:rsidR="00EF0DD7" w:rsidRPr="00BD56EA" w:rsidRDefault="00EF0DD7" w:rsidP="00963929">
            <w:pPr>
              <w:spacing w:before="37"/>
              <w:ind w:left="108"/>
              <w:jc w:val="center"/>
            </w:pPr>
            <w:r w:rsidRPr="00BD56EA">
              <w:rPr>
                <w:rFonts w:cs="Arial"/>
              </w:rPr>
              <w:t>268 011,46</w:t>
            </w:r>
          </w:p>
        </w:tc>
      </w:tr>
      <w:tr w:rsidR="00EF0DD7" w:rsidRPr="008A09CC" w14:paraId="337CF9A4" w14:textId="77777777" w:rsidTr="002656F4">
        <w:trPr>
          <w:trHeight w:val="592"/>
          <w:jc w:val="center"/>
        </w:trPr>
        <w:tc>
          <w:tcPr>
            <w:tcW w:w="988" w:type="dxa"/>
            <w:vAlign w:val="center"/>
          </w:tcPr>
          <w:p w14:paraId="7E055C47" w14:textId="77777777" w:rsidR="00EF0DD7" w:rsidRPr="00B544DC" w:rsidRDefault="00EF0DD7" w:rsidP="00963929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3.</w:t>
            </w:r>
          </w:p>
        </w:tc>
        <w:tc>
          <w:tcPr>
            <w:tcW w:w="5215" w:type="dxa"/>
            <w:vAlign w:val="center"/>
          </w:tcPr>
          <w:p w14:paraId="2D5BE1CD" w14:textId="77777777" w:rsidR="001B6B8E" w:rsidRPr="001B6B8E" w:rsidRDefault="00EF0DD7" w:rsidP="001B6B8E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1B6B8E">
              <w:rPr>
                <w:b/>
                <w:bCs/>
                <w:lang w:eastAsia="en-US"/>
              </w:rPr>
              <w:t>LEOPARD PRODUCTION, s. r. o.</w:t>
            </w:r>
            <w:r w:rsidR="001B6B8E" w:rsidRPr="001B6B8E">
              <w:rPr>
                <w:b/>
                <w:bCs/>
                <w:lang w:eastAsia="en-US"/>
              </w:rPr>
              <w:t xml:space="preserve">, </w:t>
            </w:r>
          </w:p>
          <w:p w14:paraId="4D007AD9" w14:textId="77777777" w:rsidR="001B6B8E" w:rsidRDefault="001B6B8E" w:rsidP="001B6B8E">
            <w:pPr>
              <w:spacing w:before="37"/>
              <w:ind w:left="108"/>
              <w:rPr>
                <w:lang w:eastAsia="en-US"/>
              </w:rPr>
            </w:pPr>
            <w:proofErr w:type="spellStart"/>
            <w:r w:rsidRPr="001B6B8E">
              <w:rPr>
                <w:lang w:eastAsia="en-US"/>
              </w:rPr>
              <w:t>Sreznevského</w:t>
            </w:r>
            <w:proofErr w:type="spellEnd"/>
            <w:r w:rsidRPr="001B6B8E">
              <w:rPr>
                <w:lang w:eastAsia="en-US"/>
              </w:rPr>
              <w:t xml:space="preserve"> 3, 831 03 Bratislava </w:t>
            </w:r>
            <w:r>
              <w:rPr>
                <w:lang w:eastAsia="en-US"/>
              </w:rPr>
              <w:t xml:space="preserve"> </w:t>
            </w:r>
          </w:p>
          <w:p w14:paraId="2EB2147E" w14:textId="33D9FE60" w:rsidR="00EF0DD7" w:rsidRPr="00124D70" w:rsidRDefault="001B6B8E" w:rsidP="001B6B8E">
            <w:pPr>
              <w:spacing w:before="37"/>
              <w:ind w:left="108"/>
              <w:rPr>
                <w:lang w:eastAsia="en-US"/>
              </w:rPr>
            </w:pPr>
            <w:r w:rsidRPr="001B6B8E">
              <w:rPr>
                <w:lang w:eastAsia="en-US"/>
              </w:rPr>
              <w:t>IČO: 44387407</w:t>
            </w:r>
          </w:p>
        </w:tc>
        <w:tc>
          <w:tcPr>
            <w:tcW w:w="2864" w:type="dxa"/>
            <w:vAlign w:val="center"/>
          </w:tcPr>
          <w:p w14:paraId="00C8F3A1" w14:textId="77777777" w:rsidR="00EF0DD7" w:rsidRPr="00B544DC" w:rsidRDefault="00EF0DD7" w:rsidP="00963929">
            <w:pPr>
              <w:spacing w:before="37"/>
              <w:ind w:left="108"/>
              <w:jc w:val="center"/>
            </w:pPr>
            <w:r w:rsidRPr="00097D00">
              <w:rPr>
                <w:rFonts w:cs="Arial"/>
              </w:rPr>
              <w:t>284 796,00</w:t>
            </w:r>
          </w:p>
        </w:tc>
      </w:tr>
      <w:tr w:rsidR="00EF0DD7" w:rsidRPr="008A09CC" w14:paraId="71261BFD" w14:textId="77777777" w:rsidTr="002656F4">
        <w:trPr>
          <w:trHeight w:val="592"/>
          <w:jc w:val="center"/>
        </w:trPr>
        <w:tc>
          <w:tcPr>
            <w:tcW w:w="988" w:type="dxa"/>
            <w:vAlign w:val="center"/>
          </w:tcPr>
          <w:p w14:paraId="5C81CCB0" w14:textId="77777777" w:rsidR="00EF0DD7" w:rsidRPr="00B544DC" w:rsidRDefault="00EF0DD7" w:rsidP="00963929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4.</w:t>
            </w:r>
          </w:p>
        </w:tc>
        <w:tc>
          <w:tcPr>
            <w:tcW w:w="5215" w:type="dxa"/>
            <w:vAlign w:val="center"/>
          </w:tcPr>
          <w:p w14:paraId="05D6BA74" w14:textId="77777777" w:rsidR="00EF0DD7" w:rsidRPr="001B6B8E" w:rsidRDefault="00EF0DD7" w:rsidP="00963929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1B6B8E">
              <w:rPr>
                <w:b/>
                <w:bCs/>
                <w:lang w:eastAsia="en-US"/>
              </w:rPr>
              <w:t>E-MOTION s.r.o.</w:t>
            </w:r>
            <w:r w:rsidR="001B6B8E" w:rsidRPr="001B6B8E">
              <w:rPr>
                <w:b/>
                <w:bCs/>
                <w:lang w:eastAsia="en-US"/>
              </w:rPr>
              <w:t>,</w:t>
            </w:r>
          </w:p>
          <w:p w14:paraId="1C9192D0" w14:textId="77777777" w:rsidR="001B6B8E" w:rsidRPr="001B6B8E" w:rsidRDefault="001B6B8E" w:rsidP="001B6B8E">
            <w:pPr>
              <w:spacing w:before="37"/>
              <w:ind w:left="108"/>
              <w:rPr>
                <w:bCs/>
                <w:lang w:eastAsia="en-US"/>
              </w:rPr>
            </w:pPr>
            <w:proofErr w:type="spellStart"/>
            <w:r w:rsidRPr="001B6B8E">
              <w:rPr>
                <w:bCs/>
                <w:lang w:eastAsia="en-US"/>
              </w:rPr>
              <w:t>Betliarska</w:t>
            </w:r>
            <w:proofErr w:type="spellEnd"/>
            <w:r w:rsidRPr="001B6B8E">
              <w:rPr>
                <w:bCs/>
                <w:lang w:eastAsia="en-US"/>
              </w:rPr>
              <w:t xml:space="preserve"> 8/A, 851 07 Bratislava</w:t>
            </w:r>
          </w:p>
          <w:p w14:paraId="7A965A0B" w14:textId="17B9F46E" w:rsidR="001B6B8E" w:rsidRPr="00B544DC" w:rsidRDefault="001B6B8E" w:rsidP="001B6B8E">
            <w:pPr>
              <w:spacing w:before="37"/>
              <w:ind w:left="108"/>
              <w:rPr>
                <w:lang w:eastAsia="en-US"/>
              </w:rPr>
            </w:pPr>
            <w:r w:rsidRPr="001B6B8E">
              <w:rPr>
                <w:bCs/>
                <w:lang w:eastAsia="en-US"/>
              </w:rPr>
              <w:t>IČO: 35732105</w:t>
            </w:r>
          </w:p>
        </w:tc>
        <w:tc>
          <w:tcPr>
            <w:tcW w:w="2864" w:type="dxa"/>
            <w:vAlign w:val="center"/>
          </w:tcPr>
          <w:p w14:paraId="75095D97" w14:textId="77777777" w:rsidR="00EF0DD7" w:rsidRPr="00B544DC" w:rsidRDefault="00EF0DD7" w:rsidP="00963929">
            <w:pPr>
              <w:spacing w:before="37"/>
              <w:ind w:left="108"/>
              <w:jc w:val="center"/>
            </w:pPr>
            <w:r w:rsidRPr="00097D00">
              <w:rPr>
                <w:rFonts w:cs="Arial"/>
              </w:rPr>
              <w:t>294 796,37</w:t>
            </w:r>
          </w:p>
        </w:tc>
      </w:tr>
      <w:tr w:rsidR="00EF0DD7" w:rsidRPr="008A09CC" w14:paraId="00E86C86" w14:textId="77777777" w:rsidTr="002656F4">
        <w:trPr>
          <w:trHeight w:val="623"/>
          <w:jc w:val="center"/>
        </w:trPr>
        <w:tc>
          <w:tcPr>
            <w:tcW w:w="988" w:type="dxa"/>
            <w:vAlign w:val="center"/>
          </w:tcPr>
          <w:p w14:paraId="5E0CA4F5" w14:textId="77777777" w:rsidR="00EF0DD7" w:rsidRPr="00B544DC" w:rsidRDefault="00EF0DD7" w:rsidP="00963929">
            <w:pPr>
              <w:ind w:left="198" w:right="193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5.</w:t>
            </w:r>
          </w:p>
        </w:tc>
        <w:tc>
          <w:tcPr>
            <w:tcW w:w="5215" w:type="dxa"/>
            <w:vAlign w:val="center"/>
          </w:tcPr>
          <w:p w14:paraId="75B276D1" w14:textId="77777777" w:rsidR="00EF0DD7" w:rsidRPr="001B6B8E" w:rsidRDefault="00EF0DD7" w:rsidP="00963929">
            <w:pPr>
              <w:spacing w:before="37"/>
              <w:ind w:left="108"/>
              <w:rPr>
                <w:rStyle w:val="ra"/>
                <w:b/>
                <w:bCs/>
              </w:rPr>
            </w:pPr>
            <w:r w:rsidRPr="001B6B8E">
              <w:rPr>
                <w:rStyle w:val="ra"/>
                <w:b/>
                <w:bCs/>
              </w:rPr>
              <w:t>MERTEL, s. r. o.</w:t>
            </w:r>
          </w:p>
          <w:p w14:paraId="21E8CA81" w14:textId="2C7A256C" w:rsidR="001B6B8E" w:rsidRDefault="001B6B8E" w:rsidP="001B6B8E">
            <w:pPr>
              <w:spacing w:before="37"/>
              <w:ind w:left="108"/>
              <w:rPr>
                <w:lang w:eastAsia="en-US"/>
              </w:rPr>
            </w:pPr>
            <w:r>
              <w:rPr>
                <w:lang w:eastAsia="en-US"/>
              </w:rPr>
              <w:t xml:space="preserve">Skalná 11, 811 01 Bratislava - mestská časť Staré mesto </w:t>
            </w:r>
          </w:p>
          <w:p w14:paraId="26212226" w14:textId="7AAD88AF" w:rsidR="001B6B8E" w:rsidRPr="00B544DC" w:rsidRDefault="001B6B8E" w:rsidP="001B6B8E">
            <w:pPr>
              <w:spacing w:before="37"/>
              <w:ind w:left="108"/>
              <w:rPr>
                <w:lang w:eastAsia="en-US"/>
              </w:rPr>
            </w:pPr>
            <w:r>
              <w:rPr>
                <w:lang w:eastAsia="en-US"/>
              </w:rPr>
              <w:t>IČO: 35967412</w:t>
            </w:r>
          </w:p>
        </w:tc>
        <w:tc>
          <w:tcPr>
            <w:tcW w:w="2864" w:type="dxa"/>
            <w:vAlign w:val="center"/>
          </w:tcPr>
          <w:p w14:paraId="6027C8CB" w14:textId="77777777" w:rsidR="00EF0DD7" w:rsidRPr="00B544DC" w:rsidRDefault="00EF0DD7" w:rsidP="00963929">
            <w:pPr>
              <w:spacing w:before="37"/>
              <w:ind w:left="108"/>
              <w:jc w:val="center"/>
            </w:pPr>
            <w:r w:rsidRPr="00097D00">
              <w:rPr>
                <w:rFonts w:cs="Arial"/>
              </w:rPr>
              <w:t>281 205,10</w:t>
            </w:r>
          </w:p>
        </w:tc>
      </w:tr>
      <w:bookmarkEnd w:id="5"/>
    </w:tbl>
    <w:p w14:paraId="74BD9F65" w14:textId="77777777" w:rsidR="00EF0DD7" w:rsidRDefault="00EF0DD7" w:rsidP="00D3183C">
      <w:pPr>
        <w:pStyle w:val="Zkladntext"/>
        <w:spacing w:before="1"/>
        <w:ind w:left="116"/>
        <w:rPr>
          <w:b/>
          <w:bCs/>
        </w:rPr>
      </w:pPr>
    </w:p>
    <w:p w14:paraId="32EFB4AD" w14:textId="535206EF" w:rsidR="002656F4" w:rsidRDefault="002656F4" w:rsidP="00D3183C">
      <w:pPr>
        <w:pStyle w:val="Zkladntext"/>
        <w:spacing w:before="1"/>
        <w:ind w:left="116"/>
        <w:rPr>
          <w:b/>
          <w:bCs/>
        </w:rPr>
      </w:pPr>
      <w:r>
        <w:rPr>
          <w:b/>
          <w:bCs/>
        </w:rPr>
        <w:t>Výsledné poradie</w:t>
      </w:r>
      <w:r w:rsidR="00BD0A9C">
        <w:rPr>
          <w:b/>
          <w:bCs/>
        </w:rPr>
        <w:t xml:space="preserve"> podľa prideleného počtu bodov</w:t>
      </w:r>
      <w:r w:rsidR="00C95849">
        <w:rPr>
          <w:b/>
          <w:bCs/>
        </w:rPr>
        <w:t>:</w:t>
      </w:r>
    </w:p>
    <w:p w14:paraId="0B1E38AA" w14:textId="77777777" w:rsidR="00C95849" w:rsidRPr="00D3183C" w:rsidRDefault="00C95849" w:rsidP="00D3183C">
      <w:pPr>
        <w:pStyle w:val="Zkladntext"/>
        <w:spacing w:before="1"/>
        <w:ind w:left="116"/>
        <w:rPr>
          <w:b/>
          <w:bCs/>
        </w:rPr>
      </w:pPr>
    </w:p>
    <w:p w14:paraId="5A0D8BAC" w14:textId="77777777" w:rsidR="000A6C66" w:rsidRDefault="000A6C66">
      <w:pPr>
        <w:pStyle w:val="Zkladntext"/>
        <w:spacing w:before="3"/>
        <w:rPr>
          <w:sz w:val="13"/>
        </w:rPr>
      </w:pPr>
    </w:p>
    <w:tbl>
      <w:tblPr>
        <w:tblStyle w:val="TableNormal10"/>
        <w:tblW w:w="90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261"/>
        <w:gridCol w:w="1559"/>
        <w:gridCol w:w="1701"/>
        <w:gridCol w:w="1559"/>
      </w:tblGrid>
      <w:tr w:rsidR="00EF0DD7" w:rsidRPr="00B544DC" w14:paraId="37DB9EF4" w14:textId="77777777" w:rsidTr="004C62EC">
        <w:trPr>
          <w:trHeight w:val="566"/>
        </w:trPr>
        <w:tc>
          <w:tcPr>
            <w:tcW w:w="992" w:type="dxa"/>
            <w:shd w:val="clear" w:color="auto" w:fill="DFDFDF"/>
            <w:vAlign w:val="center"/>
          </w:tcPr>
          <w:p w14:paraId="6C953CAF" w14:textId="77777777" w:rsidR="00EF0DD7" w:rsidRPr="00B544DC" w:rsidRDefault="00EF0DD7" w:rsidP="00963929">
            <w:pPr>
              <w:spacing w:before="155"/>
              <w:ind w:left="201" w:right="191"/>
              <w:jc w:val="center"/>
              <w:rPr>
                <w:b/>
                <w:lang w:eastAsia="en-US"/>
              </w:rPr>
            </w:pPr>
            <w:bookmarkStart w:id="6" w:name="_Hlk169076804"/>
            <w:r w:rsidRPr="00B544DC">
              <w:rPr>
                <w:b/>
                <w:lang w:eastAsia="en-US"/>
              </w:rPr>
              <w:t>Poradie</w:t>
            </w:r>
          </w:p>
        </w:tc>
        <w:tc>
          <w:tcPr>
            <w:tcW w:w="3261" w:type="dxa"/>
            <w:shd w:val="clear" w:color="auto" w:fill="DFDFDF"/>
            <w:vAlign w:val="center"/>
          </w:tcPr>
          <w:p w14:paraId="3445F2D2" w14:textId="77777777" w:rsidR="00EF0DD7" w:rsidRPr="00B544DC" w:rsidRDefault="00EF0DD7" w:rsidP="00963929">
            <w:pPr>
              <w:spacing w:line="257" w:lineRule="exact"/>
              <w:ind w:left="230" w:right="22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Uchádzač</w:t>
            </w:r>
          </w:p>
        </w:tc>
        <w:tc>
          <w:tcPr>
            <w:tcW w:w="1559" w:type="dxa"/>
            <w:shd w:val="clear" w:color="auto" w:fill="DFDFDF"/>
          </w:tcPr>
          <w:p w14:paraId="7A8135D5" w14:textId="77777777" w:rsidR="00EF0DD7" w:rsidRPr="00B544DC" w:rsidRDefault="00EF0DD7" w:rsidP="00963929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</w:t>
            </w:r>
            <w:r w:rsidRPr="00B544DC">
              <w:rPr>
                <w:b/>
                <w:lang w:eastAsia="en-US"/>
              </w:rPr>
              <w:t>očet bodov</w:t>
            </w:r>
            <w:r>
              <w:rPr>
                <w:b/>
                <w:lang w:eastAsia="en-US"/>
              </w:rPr>
              <w:t xml:space="preserve"> “Koncept”</w:t>
            </w:r>
            <w:r w:rsidRPr="00B544DC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(max.</w:t>
            </w:r>
            <w:r w:rsidRPr="00B544DC">
              <w:rPr>
                <w:b/>
                <w:lang w:eastAsia="en-US"/>
              </w:rPr>
              <w:t xml:space="preserve"> 30</w:t>
            </w:r>
            <w:r>
              <w:rPr>
                <w:b/>
                <w:lang w:eastAsia="en-US"/>
              </w:rPr>
              <w:t>)</w:t>
            </w:r>
          </w:p>
        </w:tc>
        <w:tc>
          <w:tcPr>
            <w:tcW w:w="1701" w:type="dxa"/>
            <w:shd w:val="clear" w:color="auto" w:fill="DFDFDF"/>
          </w:tcPr>
          <w:p w14:paraId="49FB1A86" w14:textId="77777777" w:rsidR="00EF0DD7" w:rsidRPr="00B544DC" w:rsidRDefault="00EF0DD7" w:rsidP="00963929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</w:t>
            </w:r>
            <w:r w:rsidRPr="00B544DC">
              <w:rPr>
                <w:b/>
                <w:lang w:eastAsia="en-US"/>
              </w:rPr>
              <w:t>očet bodov</w:t>
            </w:r>
            <w:r>
              <w:rPr>
                <w:b/>
                <w:lang w:eastAsia="en-US"/>
              </w:rPr>
              <w:t xml:space="preserve"> “Všeobecná časť”</w:t>
            </w:r>
            <w:r w:rsidRPr="00B544DC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(max.</w:t>
            </w:r>
            <w:r w:rsidRPr="00B544DC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>7</w:t>
            </w:r>
            <w:r w:rsidRPr="00B544DC">
              <w:rPr>
                <w:b/>
                <w:lang w:eastAsia="en-US"/>
              </w:rPr>
              <w:t>0</w:t>
            </w:r>
            <w:r>
              <w:rPr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DFDFDF"/>
          </w:tcPr>
          <w:p w14:paraId="4135611E" w14:textId="77777777" w:rsidR="00EF0DD7" w:rsidRPr="00B544DC" w:rsidRDefault="00EF0DD7" w:rsidP="00963929">
            <w:pPr>
              <w:spacing w:before="26" w:line="257" w:lineRule="exact"/>
              <w:ind w:left="230" w:right="22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Celkový počet bodov (max. 100)</w:t>
            </w:r>
          </w:p>
        </w:tc>
      </w:tr>
      <w:tr w:rsidR="00EF0DD7" w:rsidRPr="008A09CC" w14:paraId="14178AB4" w14:textId="77777777" w:rsidTr="004C62EC">
        <w:trPr>
          <w:trHeight w:val="709"/>
        </w:trPr>
        <w:tc>
          <w:tcPr>
            <w:tcW w:w="992" w:type="dxa"/>
            <w:vAlign w:val="center"/>
          </w:tcPr>
          <w:p w14:paraId="7F6DD56C" w14:textId="77777777" w:rsidR="00EF0DD7" w:rsidRPr="008A09CC" w:rsidRDefault="00EF0DD7" w:rsidP="00963929">
            <w:pPr>
              <w:spacing w:before="167"/>
              <w:ind w:left="198" w:right="191"/>
              <w:jc w:val="center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>1.</w:t>
            </w:r>
          </w:p>
        </w:tc>
        <w:tc>
          <w:tcPr>
            <w:tcW w:w="3261" w:type="dxa"/>
            <w:vAlign w:val="center"/>
          </w:tcPr>
          <w:p w14:paraId="33A187D2" w14:textId="77777777" w:rsidR="00EF0DD7" w:rsidRPr="008A09CC" w:rsidRDefault="00EF0DD7" w:rsidP="00963929">
            <w:pPr>
              <w:spacing w:before="37"/>
              <w:ind w:left="108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 xml:space="preserve">LEOPARD PRODUCTION, s. r. o. </w:t>
            </w:r>
          </w:p>
        </w:tc>
        <w:tc>
          <w:tcPr>
            <w:tcW w:w="1559" w:type="dxa"/>
            <w:vAlign w:val="center"/>
          </w:tcPr>
          <w:p w14:paraId="56E4593B" w14:textId="77777777" w:rsidR="00EF0DD7" w:rsidRPr="008A09CC" w:rsidRDefault="00EF0DD7" w:rsidP="00963929">
            <w:pPr>
              <w:spacing w:before="37"/>
              <w:ind w:left="108"/>
              <w:jc w:val="center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>23,1</w:t>
            </w:r>
          </w:p>
        </w:tc>
        <w:tc>
          <w:tcPr>
            <w:tcW w:w="1701" w:type="dxa"/>
            <w:vAlign w:val="center"/>
          </w:tcPr>
          <w:p w14:paraId="11401363" w14:textId="77777777" w:rsidR="00EF0DD7" w:rsidRPr="008A09CC" w:rsidRDefault="00EF0DD7" w:rsidP="00963929">
            <w:pPr>
              <w:spacing w:before="37"/>
              <w:ind w:left="108"/>
              <w:jc w:val="center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>65,87</w:t>
            </w:r>
          </w:p>
        </w:tc>
        <w:tc>
          <w:tcPr>
            <w:tcW w:w="1559" w:type="dxa"/>
            <w:vAlign w:val="center"/>
          </w:tcPr>
          <w:p w14:paraId="62348678" w14:textId="77777777" w:rsidR="00EF0DD7" w:rsidRPr="008A09CC" w:rsidRDefault="00EF0DD7" w:rsidP="00963929">
            <w:pPr>
              <w:spacing w:before="37"/>
              <w:ind w:left="108"/>
              <w:jc w:val="center"/>
              <w:rPr>
                <w:b/>
                <w:bCs/>
                <w:lang w:eastAsia="en-US"/>
              </w:rPr>
            </w:pPr>
            <w:r w:rsidRPr="008A09CC">
              <w:rPr>
                <w:b/>
                <w:bCs/>
                <w:lang w:eastAsia="en-US"/>
              </w:rPr>
              <w:t>88,97</w:t>
            </w:r>
          </w:p>
        </w:tc>
      </w:tr>
      <w:tr w:rsidR="00EF0DD7" w:rsidRPr="00B544DC" w14:paraId="0AB746F6" w14:textId="77777777" w:rsidTr="004C62EC">
        <w:trPr>
          <w:trHeight w:val="592"/>
        </w:trPr>
        <w:tc>
          <w:tcPr>
            <w:tcW w:w="992" w:type="dxa"/>
            <w:vAlign w:val="center"/>
          </w:tcPr>
          <w:p w14:paraId="6630DE73" w14:textId="77777777" w:rsidR="00EF0DD7" w:rsidRPr="00B544DC" w:rsidRDefault="00EF0DD7" w:rsidP="00963929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2.</w:t>
            </w:r>
          </w:p>
        </w:tc>
        <w:tc>
          <w:tcPr>
            <w:tcW w:w="3261" w:type="dxa"/>
            <w:vAlign w:val="center"/>
          </w:tcPr>
          <w:p w14:paraId="7BD2D16B" w14:textId="77777777" w:rsidR="00EF0DD7" w:rsidRPr="002865D2" w:rsidRDefault="00EF0DD7" w:rsidP="00963929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>VIVA EVENTS, s.r.o.</w:t>
            </w:r>
          </w:p>
        </w:tc>
        <w:tc>
          <w:tcPr>
            <w:tcW w:w="1559" w:type="dxa"/>
            <w:vAlign w:val="center"/>
          </w:tcPr>
          <w:p w14:paraId="61B8E86F" w14:textId="77777777" w:rsidR="00EF0DD7" w:rsidRPr="00B544DC" w:rsidRDefault="00EF0DD7" w:rsidP="00963929">
            <w:pPr>
              <w:spacing w:before="37"/>
              <w:ind w:left="108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17,4</w:t>
            </w:r>
          </w:p>
        </w:tc>
        <w:tc>
          <w:tcPr>
            <w:tcW w:w="1701" w:type="dxa"/>
            <w:vAlign w:val="center"/>
          </w:tcPr>
          <w:p w14:paraId="0DB9E031" w14:textId="77777777" w:rsidR="00EF0DD7" w:rsidRPr="00B544DC" w:rsidRDefault="00EF0DD7" w:rsidP="00963929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559" w:type="dxa"/>
            <w:vAlign w:val="center"/>
          </w:tcPr>
          <w:p w14:paraId="2EDA6090" w14:textId="77777777" w:rsidR="00EF0DD7" w:rsidRPr="00B544DC" w:rsidRDefault="00EF0DD7" w:rsidP="00963929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87,4</w:t>
            </w:r>
          </w:p>
        </w:tc>
      </w:tr>
      <w:tr w:rsidR="00EF0DD7" w:rsidRPr="00B544DC" w14:paraId="2DB44B3A" w14:textId="77777777" w:rsidTr="004C62EC">
        <w:trPr>
          <w:trHeight w:val="592"/>
        </w:trPr>
        <w:tc>
          <w:tcPr>
            <w:tcW w:w="992" w:type="dxa"/>
            <w:vAlign w:val="center"/>
          </w:tcPr>
          <w:p w14:paraId="342A0C42" w14:textId="77777777" w:rsidR="00EF0DD7" w:rsidRPr="00B544DC" w:rsidRDefault="00EF0DD7" w:rsidP="00963929">
            <w:pPr>
              <w:spacing w:before="167"/>
              <w:ind w:left="198" w:right="191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3.</w:t>
            </w:r>
          </w:p>
        </w:tc>
        <w:tc>
          <w:tcPr>
            <w:tcW w:w="3261" w:type="dxa"/>
            <w:vAlign w:val="center"/>
          </w:tcPr>
          <w:p w14:paraId="4C24FEFE" w14:textId="77777777" w:rsidR="00EF0DD7" w:rsidRPr="002865D2" w:rsidRDefault="00EF0DD7" w:rsidP="002656F4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lang w:eastAsia="en-US"/>
              </w:rPr>
              <w:t xml:space="preserve">CREATIVE PRO a.s., </w:t>
            </w:r>
          </w:p>
        </w:tc>
        <w:tc>
          <w:tcPr>
            <w:tcW w:w="1559" w:type="dxa"/>
            <w:vAlign w:val="center"/>
          </w:tcPr>
          <w:p w14:paraId="425726E5" w14:textId="77777777" w:rsidR="00EF0DD7" w:rsidRPr="00B544DC" w:rsidRDefault="00EF0DD7" w:rsidP="00963929">
            <w:pPr>
              <w:spacing w:before="37"/>
              <w:ind w:left="108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16,8</w:t>
            </w:r>
          </w:p>
        </w:tc>
        <w:tc>
          <w:tcPr>
            <w:tcW w:w="1701" w:type="dxa"/>
            <w:vAlign w:val="center"/>
          </w:tcPr>
          <w:p w14:paraId="247C0A1E" w14:textId="77777777" w:rsidR="00EF0DD7" w:rsidRPr="00B544DC" w:rsidRDefault="00EF0DD7" w:rsidP="00963929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68,44</w:t>
            </w:r>
          </w:p>
        </w:tc>
        <w:tc>
          <w:tcPr>
            <w:tcW w:w="1559" w:type="dxa"/>
            <w:vAlign w:val="center"/>
          </w:tcPr>
          <w:p w14:paraId="459CDC17" w14:textId="77777777" w:rsidR="00EF0DD7" w:rsidRPr="00B544DC" w:rsidRDefault="00EF0DD7" w:rsidP="00963929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85,24</w:t>
            </w:r>
          </w:p>
        </w:tc>
      </w:tr>
      <w:bookmarkEnd w:id="6"/>
      <w:tr w:rsidR="004C62EC" w:rsidRPr="00B544DC" w14:paraId="3BF7DC4E" w14:textId="77777777" w:rsidTr="004C62EC">
        <w:trPr>
          <w:trHeight w:val="592"/>
        </w:trPr>
        <w:tc>
          <w:tcPr>
            <w:tcW w:w="992" w:type="dxa"/>
          </w:tcPr>
          <w:p w14:paraId="78B6C6FC" w14:textId="083AC1FC" w:rsidR="004C62EC" w:rsidRPr="00B544DC" w:rsidRDefault="004C62EC" w:rsidP="004C62EC">
            <w:pPr>
              <w:spacing w:before="167"/>
              <w:ind w:left="198" w:right="19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261" w:type="dxa"/>
          </w:tcPr>
          <w:p w14:paraId="16FCA65D" w14:textId="51309F1C" w:rsidR="004C62EC" w:rsidRPr="002865D2" w:rsidRDefault="004C62EC" w:rsidP="004C62EC">
            <w:pPr>
              <w:spacing w:before="37"/>
              <w:ind w:left="108"/>
              <w:rPr>
                <w:lang w:eastAsia="en-US"/>
              </w:rPr>
            </w:pPr>
            <w:r w:rsidRPr="002865D2">
              <w:rPr>
                <w:rStyle w:val="ra"/>
              </w:rPr>
              <w:t xml:space="preserve">MERTEL, s. r. o. </w:t>
            </w:r>
          </w:p>
        </w:tc>
        <w:tc>
          <w:tcPr>
            <w:tcW w:w="1559" w:type="dxa"/>
            <w:vAlign w:val="center"/>
          </w:tcPr>
          <w:p w14:paraId="5154E8B6" w14:textId="77777777" w:rsidR="004C62EC" w:rsidRPr="00B544DC" w:rsidRDefault="004C62EC" w:rsidP="004C62EC">
            <w:pPr>
              <w:spacing w:before="37"/>
              <w:ind w:left="108"/>
              <w:jc w:val="center"/>
              <w:rPr>
                <w:lang w:eastAsia="en-US"/>
              </w:rPr>
            </w:pPr>
            <w:r w:rsidRPr="00B544DC">
              <w:rPr>
                <w:lang w:eastAsia="en-US"/>
              </w:rPr>
              <w:t>1</w:t>
            </w:r>
            <w:r>
              <w:rPr>
                <w:lang w:eastAsia="en-US"/>
              </w:rPr>
              <w:t>0</w:t>
            </w:r>
            <w:r w:rsidRPr="00B544DC">
              <w:rPr>
                <w:lang w:eastAsia="en-US"/>
              </w:rPr>
              <w:t>,5</w:t>
            </w:r>
          </w:p>
          <w:p w14:paraId="7586F827" w14:textId="2AC95C46" w:rsidR="004C62EC" w:rsidRPr="00B544DC" w:rsidRDefault="004C62EC" w:rsidP="004C62EC">
            <w:pPr>
              <w:spacing w:before="37"/>
              <w:ind w:left="108"/>
              <w:jc w:val="center"/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5EADD1D" w14:textId="41706B67" w:rsidR="004C62EC" w:rsidRPr="00B544DC" w:rsidRDefault="004C62EC" w:rsidP="004C62EC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lang w:eastAsia="en-US"/>
              </w:rPr>
              <w:t>66,72</w:t>
            </w:r>
          </w:p>
        </w:tc>
        <w:tc>
          <w:tcPr>
            <w:tcW w:w="1559" w:type="dxa"/>
            <w:vAlign w:val="center"/>
          </w:tcPr>
          <w:p w14:paraId="2E317F92" w14:textId="10D52DBB" w:rsidR="004C62EC" w:rsidRPr="00B544DC" w:rsidRDefault="004C62EC" w:rsidP="004C62EC">
            <w:pPr>
              <w:spacing w:before="37"/>
              <w:ind w:left="108"/>
              <w:jc w:val="center"/>
              <w:rPr>
                <w:rStyle w:val="ra"/>
              </w:rPr>
            </w:pPr>
            <w:r>
              <w:rPr>
                <w:lang w:eastAsia="en-US"/>
              </w:rPr>
              <w:t>77,22</w:t>
            </w:r>
          </w:p>
        </w:tc>
      </w:tr>
      <w:tr w:rsidR="004C62EC" w:rsidRPr="00B544DC" w14:paraId="13F4A07B" w14:textId="77777777" w:rsidTr="004C62EC">
        <w:trPr>
          <w:trHeight w:val="623"/>
        </w:trPr>
        <w:tc>
          <w:tcPr>
            <w:tcW w:w="992" w:type="dxa"/>
            <w:vAlign w:val="center"/>
          </w:tcPr>
          <w:p w14:paraId="2ECB7521" w14:textId="0801A0B5" w:rsidR="004C62EC" w:rsidRPr="00B544DC" w:rsidRDefault="004C62EC" w:rsidP="004C62EC">
            <w:pPr>
              <w:ind w:left="198" w:right="19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B544DC">
              <w:rPr>
                <w:lang w:eastAsia="en-US"/>
              </w:rPr>
              <w:t>.</w:t>
            </w:r>
          </w:p>
        </w:tc>
        <w:tc>
          <w:tcPr>
            <w:tcW w:w="3261" w:type="dxa"/>
            <w:vAlign w:val="center"/>
          </w:tcPr>
          <w:p w14:paraId="4E592FD4" w14:textId="417EE60B" w:rsidR="004C62EC" w:rsidRPr="002865D2" w:rsidRDefault="004C62EC" w:rsidP="004C62EC">
            <w:pPr>
              <w:spacing w:before="37"/>
              <w:ind w:left="108"/>
              <w:rPr>
                <w:rStyle w:val="ra"/>
              </w:rPr>
            </w:pPr>
            <w:r w:rsidRPr="002865D2">
              <w:rPr>
                <w:lang w:eastAsia="en-US"/>
              </w:rPr>
              <w:t>E-MOTION s.r.o.</w:t>
            </w:r>
          </w:p>
        </w:tc>
        <w:tc>
          <w:tcPr>
            <w:tcW w:w="1559" w:type="dxa"/>
            <w:vAlign w:val="center"/>
          </w:tcPr>
          <w:p w14:paraId="09644FA5" w14:textId="3C4C06DE" w:rsidR="004C62EC" w:rsidRPr="00B544DC" w:rsidRDefault="004C62EC" w:rsidP="004C62EC">
            <w:pPr>
              <w:spacing w:before="37"/>
              <w:ind w:left="108"/>
              <w:jc w:val="center"/>
              <w:rPr>
                <w:rStyle w:val="ra"/>
              </w:rPr>
            </w:pPr>
            <w:r w:rsidRPr="00B544DC">
              <w:rPr>
                <w:rStyle w:val="ra"/>
              </w:rPr>
              <w:t>12,8</w:t>
            </w:r>
          </w:p>
        </w:tc>
        <w:tc>
          <w:tcPr>
            <w:tcW w:w="1701" w:type="dxa"/>
            <w:vAlign w:val="center"/>
          </w:tcPr>
          <w:p w14:paraId="68501D45" w14:textId="4BB04871" w:rsidR="004C62EC" w:rsidRPr="00B544DC" w:rsidRDefault="004C62EC" w:rsidP="004C62EC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rStyle w:val="ra"/>
              </w:rPr>
              <w:t>63,64</w:t>
            </w:r>
          </w:p>
        </w:tc>
        <w:tc>
          <w:tcPr>
            <w:tcW w:w="1559" w:type="dxa"/>
            <w:vAlign w:val="center"/>
          </w:tcPr>
          <w:p w14:paraId="647FBFF9" w14:textId="44D7F011" w:rsidR="004C62EC" w:rsidRPr="00B544DC" w:rsidRDefault="004C62EC" w:rsidP="004C62EC">
            <w:pPr>
              <w:spacing w:before="37"/>
              <w:ind w:left="108"/>
              <w:jc w:val="center"/>
              <w:rPr>
                <w:lang w:eastAsia="en-US"/>
              </w:rPr>
            </w:pPr>
            <w:r>
              <w:rPr>
                <w:rStyle w:val="ra"/>
              </w:rPr>
              <w:t>76,44</w:t>
            </w:r>
          </w:p>
        </w:tc>
      </w:tr>
      <w:tr w:rsidR="004C62EC" w:rsidRPr="00B544DC" w14:paraId="702A3FC2" w14:textId="77777777" w:rsidTr="004C62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992" w:type="dxa"/>
          </w:tcPr>
          <w:p w14:paraId="7F11945D" w14:textId="741F92A9" w:rsidR="004C62EC" w:rsidRPr="00B544DC" w:rsidRDefault="004C62EC" w:rsidP="004C62EC">
            <w:pPr>
              <w:ind w:right="193"/>
              <w:rPr>
                <w:lang w:eastAsia="en-US"/>
              </w:rPr>
            </w:pPr>
          </w:p>
        </w:tc>
        <w:tc>
          <w:tcPr>
            <w:tcW w:w="3261" w:type="dxa"/>
          </w:tcPr>
          <w:p w14:paraId="6075AA3F" w14:textId="6CF452F6" w:rsidR="004C62EC" w:rsidRPr="002865D2" w:rsidRDefault="004C62EC" w:rsidP="004C62EC">
            <w:pPr>
              <w:spacing w:before="37"/>
              <w:ind w:left="108"/>
              <w:rPr>
                <w:rStyle w:val="ra"/>
              </w:rPr>
            </w:pPr>
          </w:p>
        </w:tc>
        <w:tc>
          <w:tcPr>
            <w:tcW w:w="1559" w:type="dxa"/>
          </w:tcPr>
          <w:p w14:paraId="3324C19B" w14:textId="77777777" w:rsidR="004C62EC" w:rsidRPr="00B544DC" w:rsidRDefault="004C62EC" w:rsidP="004C62EC">
            <w:pPr>
              <w:spacing w:before="37"/>
              <w:rPr>
                <w:rStyle w:val="ra"/>
              </w:rPr>
            </w:pPr>
          </w:p>
        </w:tc>
        <w:tc>
          <w:tcPr>
            <w:tcW w:w="1701" w:type="dxa"/>
          </w:tcPr>
          <w:p w14:paraId="24241713" w14:textId="315D8CEE" w:rsidR="004C62EC" w:rsidRPr="00B544DC" w:rsidRDefault="004C62EC" w:rsidP="004C62EC">
            <w:pPr>
              <w:spacing w:before="37"/>
              <w:ind w:left="108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14:paraId="1795FD7C" w14:textId="67BF4F99" w:rsidR="004C62EC" w:rsidRPr="00B544DC" w:rsidRDefault="004C62EC" w:rsidP="004C62EC">
            <w:pPr>
              <w:spacing w:before="37"/>
              <w:ind w:left="108"/>
              <w:jc w:val="center"/>
              <w:rPr>
                <w:lang w:eastAsia="en-US"/>
              </w:rPr>
            </w:pPr>
          </w:p>
        </w:tc>
      </w:tr>
    </w:tbl>
    <w:p w14:paraId="54A6A7CC" w14:textId="77777777" w:rsidR="00E0628E" w:rsidRDefault="00E0628E" w:rsidP="004C62EC"/>
    <w:sectPr w:rsidR="00E0628E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92B7A"/>
    <w:multiLevelType w:val="hybridMultilevel"/>
    <w:tmpl w:val="BB8A2C62"/>
    <w:lvl w:ilvl="0" w:tplc="1674E110">
      <w:start w:val="12"/>
      <w:numFmt w:val="bullet"/>
      <w:lvlText w:val="-"/>
      <w:lvlJc w:val="left"/>
      <w:pPr>
        <w:ind w:left="644" w:hanging="360"/>
      </w:pPr>
      <w:rPr>
        <w:rFonts w:ascii="Cambria" w:eastAsia="Cambria" w:hAnsi="Cambria" w:cs="Cambria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9182943"/>
    <w:multiLevelType w:val="hybridMultilevel"/>
    <w:tmpl w:val="48DA4B74"/>
    <w:lvl w:ilvl="0" w:tplc="366E8912">
      <w:start w:val="1"/>
      <w:numFmt w:val="lowerLetter"/>
      <w:lvlText w:val="%1)"/>
      <w:lvlJc w:val="left"/>
      <w:pPr>
        <w:ind w:left="399" w:hanging="284"/>
      </w:pPr>
      <w:rPr>
        <w:rFonts w:hint="default"/>
        <w:b/>
        <w:bCs/>
        <w:spacing w:val="0"/>
        <w:w w:val="100"/>
        <w:lang w:val="sk-SK" w:eastAsia="sk-SK" w:bidi="sk-SK"/>
      </w:rPr>
    </w:lvl>
    <w:lvl w:ilvl="1" w:tplc="1B3ACDF0">
      <w:numFmt w:val="bullet"/>
      <w:lvlText w:val="•"/>
      <w:lvlJc w:val="left"/>
      <w:pPr>
        <w:ind w:left="840" w:hanging="284"/>
      </w:pPr>
      <w:rPr>
        <w:rFonts w:hint="default"/>
        <w:lang w:val="sk-SK" w:eastAsia="sk-SK" w:bidi="sk-SK"/>
      </w:rPr>
    </w:lvl>
    <w:lvl w:ilvl="2" w:tplc="ECA03CFE">
      <w:numFmt w:val="bullet"/>
      <w:lvlText w:val="•"/>
      <w:lvlJc w:val="left"/>
      <w:pPr>
        <w:ind w:left="1780" w:hanging="284"/>
      </w:pPr>
      <w:rPr>
        <w:rFonts w:hint="default"/>
        <w:lang w:val="sk-SK" w:eastAsia="sk-SK" w:bidi="sk-SK"/>
      </w:rPr>
    </w:lvl>
    <w:lvl w:ilvl="3" w:tplc="4E9AF9B2">
      <w:numFmt w:val="bullet"/>
      <w:lvlText w:val="•"/>
      <w:lvlJc w:val="left"/>
      <w:pPr>
        <w:ind w:left="2721" w:hanging="284"/>
      </w:pPr>
      <w:rPr>
        <w:rFonts w:hint="default"/>
        <w:lang w:val="sk-SK" w:eastAsia="sk-SK" w:bidi="sk-SK"/>
      </w:rPr>
    </w:lvl>
    <w:lvl w:ilvl="4" w:tplc="D634265A">
      <w:numFmt w:val="bullet"/>
      <w:lvlText w:val="•"/>
      <w:lvlJc w:val="left"/>
      <w:pPr>
        <w:ind w:left="3662" w:hanging="284"/>
      </w:pPr>
      <w:rPr>
        <w:rFonts w:hint="default"/>
        <w:lang w:val="sk-SK" w:eastAsia="sk-SK" w:bidi="sk-SK"/>
      </w:rPr>
    </w:lvl>
    <w:lvl w:ilvl="5" w:tplc="9642F512">
      <w:numFmt w:val="bullet"/>
      <w:lvlText w:val="•"/>
      <w:lvlJc w:val="left"/>
      <w:pPr>
        <w:ind w:left="4602" w:hanging="284"/>
      </w:pPr>
      <w:rPr>
        <w:rFonts w:hint="default"/>
        <w:lang w:val="sk-SK" w:eastAsia="sk-SK" w:bidi="sk-SK"/>
      </w:rPr>
    </w:lvl>
    <w:lvl w:ilvl="6" w:tplc="6CF46386">
      <w:numFmt w:val="bullet"/>
      <w:lvlText w:val="•"/>
      <w:lvlJc w:val="left"/>
      <w:pPr>
        <w:ind w:left="5543" w:hanging="284"/>
      </w:pPr>
      <w:rPr>
        <w:rFonts w:hint="default"/>
        <w:lang w:val="sk-SK" w:eastAsia="sk-SK" w:bidi="sk-SK"/>
      </w:rPr>
    </w:lvl>
    <w:lvl w:ilvl="7" w:tplc="9A842892">
      <w:numFmt w:val="bullet"/>
      <w:lvlText w:val="•"/>
      <w:lvlJc w:val="left"/>
      <w:pPr>
        <w:ind w:left="6484" w:hanging="284"/>
      </w:pPr>
      <w:rPr>
        <w:rFonts w:hint="default"/>
        <w:lang w:val="sk-SK" w:eastAsia="sk-SK" w:bidi="sk-SK"/>
      </w:rPr>
    </w:lvl>
    <w:lvl w:ilvl="8" w:tplc="E13C7922">
      <w:numFmt w:val="bullet"/>
      <w:lvlText w:val="•"/>
      <w:lvlJc w:val="left"/>
      <w:pPr>
        <w:ind w:left="7424" w:hanging="284"/>
      </w:pPr>
      <w:rPr>
        <w:rFonts w:hint="default"/>
        <w:lang w:val="sk-SK" w:eastAsia="sk-SK" w:bidi="sk-SK"/>
      </w:rPr>
    </w:lvl>
  </w:abstractNum>
  <w:num w:numId="1" w16cid:durableId="360321513">
    <w:abstractNumId w:val="1"/>
  </w:num>
  <w:num w:numId="2" w16cid:durableId="166789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66"/>
    <w:rsid w:val="00041219"/>
    <w:rsid w:val="000A6C66"/>
    <w:rsid w:val="000F6D1D"/>
    <w:rsid w:val="0010510E"/>
    <w:rsid w:val="001B6B8E"/>
    <w:rsid w:val="0021377A"/>
    <w:rsid w:val="00214998"/>
    <w:rsid w:val="00227D0B"/>
    <w:rsid w:val="002656F4"/>
    <w:rsid w:val="00277CB4"/>
    <w:rsid w:val="00340F0F"/>
    <w:rsid w:val="00353FCE"/>
    <w:rsid w:val="004C62EC"/>
    <w:rsid w:val="00502E55"/>
    <w:rsid w:val="005C68F3"/>
    <w:rsid w:val="005D748E"/>
    <w:rsid w:val="00670494"/>
    <w:rsid w:val="006A6EF5"/>
    <w:rsid w:val="007D4881"/>
    <w:rsid w:val="0088358E"/>
    <w:rsid w:val="00911210"/>
    <w:rsid w:val="00942175"/>
    <w:rsid w:val="00A40E51"/>
    <w:rsid w:val="00AC29AC"/>
    <w:rsid w:val="00B91919"/>
    <w:rsid w:val="00BD0A9C"/>
    <w:rsid w:val="00BD56EA"/>
    <w:rsid w:val="00C1224D"/>
    <w:rsid w:val="00C34C50"/>
    <w:rsid w:val="00C95849"/>
    <w:rsid w:val="00D20C80"/>
    <w:rsid w:val="00D3183C"/>
    <w:rsid w:val="00D61246"/>
    <w:rsid w:val="00E0628E"/>
    <w:rsid w:val="00E153DC"/>
    <w:rsid w:val="00E72A84"/>
    <w:rsid w:val="00EF0DD7"/>
    <w:rsid w:val="00F56E65"/>
    <w:rsid w:val="00F7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E5F1"/>
  <w15:docId w15:val="{DA9751B4-3079-4961-989F-C18CD5079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mbria" w:eastAsia="Cambria" w:hAnsi="Cambria" w:cs="Cambria"/>
      <w:lang w:val="sk-SK" w:eastAsia="sk-SK" w:bidi="sk-SK"/>
    </w:rPr>
  </w:style>
  <w:style w:type="paragraph" w:styleId="Nadpis1">
    <w:name w:val="heading 1"/>
    <w:basedOn w:val="Normlny"/>
    <w:uiPriority w:val="9"/>
    <w:qFormat/>
    <w:pPr>
      <w:ind w:left="116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pPr>
      <w:spacing w:before="6"/>
    </w:pPr>
  </w:style>
  <w:style w:type="paragraph" w:styleId="Odsekzoznamu">
    <w:name w:val="List Paragraph"/>
    <w:basedOn w:val="Normlny"/>
    <w:uiPriority w:val="1"/>
    <w:qFormat/>
    <w:pPr>
      <w:ind w:left="358" w:hanging="284"/>
    </w:pPr>
  </w:style>
  <w:style w:type="paragraph" w:customStyle="1" w:styleId="TableParagraph">
    <w:name w:val="Table Paragraph"/>
    <w:basedOn w:val="Normlny"/>
    <w:uiPriority w:val="1"/>
    <w:qFormat/>
    <w:pPr>
      <w:spacing w:before="2"/>
      <w:ind w:left="107"/>
    </w:pPr>
  </w:style>
  <w:style w:type="paragraph" w:styleId="Hlavika">
    <w:name w:val="header"/>
    <w:basedOn w:val="Normlny"/>
    <w:link w:val="HlavikaChar"/>
    <w:unhideWhenUsed/>
    <w:rsid w:val="0021377A"/>
    <w:pPr>
      <w:widowControl/>
      <w:tabs>
        <w:tab w:val="center" w:pos="4703"/>
        <w:tab w:val="right" w:pos="9406"/>
      </w:tabs>
      <w:autoSpaceDE/>
      <w:autoSpaceDN/>
    </w:pPr>
    <w:rPr>
      <w:rFonts w:ascii="Calibri" w:eastAsia="Calibri" w:hAnsi="Calibri" w:cs="Times New Roman"/>
      <w:sz w:val="24"/>
      <w:szCs w:val="24"/>
      <w:lang w:eastAsia="en-US" w:bidi="ar-SA"/>
    </w:rPr>
  </w:style>
  <w:style w:type="character" w:customStyle="1" w:styleId="HlavikaChar">
    <w:name w:val="Hlavička Char"/>
    <w:basedOn w:val="Predvolenpsmoodseku"/>
    <w:link w:val="Hlavika"/>
    <w:rsid w:val="0021377A"/>
    <w:rPr>
      <w:rFonts w:ascii="Calibri" w:eastAsia="Calibri" w:hAnsi="Calibri" w:cs="Times New Roman"/>
      <w:sz w:val="24"/>
      <w:szCs w:val="24"/>
      <w:lang w:val="sk-SK"/>
    </w:rPr>
  </w:style>
  <w:style w:type="table" w:customStyle="1" w:styleId="TableNormal10">
    <w:name w:val="Table Normal1"/>
    <w:uiPriority w:val="2"/>
    <w:semiHidden/>
    <w:unhideWhenUsed/>
    <w:qFormat/>
    <w:rsid w:val="00D3183C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10510E"/>
    <w:pPr>
      <w:widowControl/>
      <w:autoSpaceDE/>
      <w:autoSpaceDN/>
    </w:pPr>
    <w:rPr>
      <w:rFonts w:ascii="Cambria" w:eastAsia="Cambria" w:hAnsi="Cambria" w:cs="Cambria"/>
      <w:lang w:val="sk-SK" w:eastAsia="sk-SK" w:bidi="sk-SK"/>
    </w:rPr>
  </w:style>
  <w:style w:type="character" w:customStyle="1" w:styleId="ra">
    <w:name w:val="ra"/>
    <w:basedOn w:val="Predvolenpsmoodseku"/>
    <w:rsid w:val="00C1224D"/>
  </w:style>
  <w:style w:type="character" w:customStyle="1" w:styleId="ZkladntextChar">
    <w:name w:val="Základný text Char"/>
    <w:basedOn w:val="Predvolenpsmoodseku"/>
    <w:link w:val="Zkladntext"/>
    <w:uiPriority w:val="1"/>
    <w:rsid w:val="001B6B8E"/>
    <w:rPr>
      <w:rFonts w:ascii="Cambria" w:eastAsia="Cambria" w:hAnsi="Cambria" w:cs="Cambria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Katarina.Ftacnikova@nbs.sk</dc:creator>
  <cp:lastModifiedBy>Ivan Holič</cp:lastModifiedBy>
  <cp:revision>8</cp:revision>
  <dcterms:created xsi:type="dcterms:W3CDTF">2024-06-12T10:41:00Z</dcterms:created>
  <dcterms:modified xsi:type="dcterms:W3CDTF">2024-06-13T13:06:00Z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2024-03-18T00:00:00Z</vt:filetime>
  </property>
</Properties>
</file>